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ca9a" w14:textId="c08c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2024 жылғы 25 желтоқсандағы № 8С-32/2 "2025-2027 жылдарға арналған кенттердің,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2025 жылғы 2 желтоқсандағы № 8С-45/2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"2025-2027 жылдарға арналған кенттердің, ауылдық округтердің бюджеттері туралы" 2024 жылғы 25 желтоқсандағы № 8С-32/2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231 898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150 118,2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24 751,9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235 748,1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125 350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199 010,3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254 447,2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66 487,4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67 930,9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120 028,9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269 447,8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53 248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31 248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53 880,5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129 474,9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51 397,5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6 798,3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71 279,1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134 324,4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41 207,2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3 245,7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27 099,6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63 384,2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121 760,4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104 260,4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121 760,4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5), 7)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33 022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(-3 200)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3 200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80 093,9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73 644,9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81 094,8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62 901,8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10 160,4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52 401,8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64 054,1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5), 7)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57 266,7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6 878,7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59 222,7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(-1 956)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1 956 мың теңге.";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Шортанды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Жолымбет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Дамса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Новокубанка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Бозайғыр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Бектау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Петровка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Андреевка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Раевка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Пригородный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Новоселовка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3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жергілікті бюджет қаражаты есебінен нысаналы трансферттер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505573,7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кентінің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