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9eec" w14:textId="aab9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объектісінің Целиноград ауданының елді мекендерінде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2025 жылғы 14 қарашадағы № А-11/300 қаулысы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Салық салу объектісінің Целиноград ауданының елді мекендерінде орналасуын ескеретін аймаққа бөлу коэффициенттерін бекіту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 2026 бастап қолданысқа енгізіледі – осы қаулының 4-тармағымен.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2017 жылғы 25 желтоқсандағы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әкімдігі 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салу объектісінің Целиноград ауданының елді мекендерінде орналасуын ескеретін аймаққа бөлу коэффициенттері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"Салық салу объектісінің Целиноград ауданының елді мекендерінде орналасуын ескеретін аймаққа бөлу коэффициенттерін бекіту туралы" Целиноград ауданы әкімдігінің 2023 жылғы 27 қарашадағы № А-11/322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8662-03 болып тіркелген).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Целиноград ауданы әкімінің орынбасары Ж.Т. Толқынбекке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2026 жылдың 1 қаңтарынан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"14" қараша № А-11/300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Целиноград ауданының елді мекендерінде орналасуын еcкеретін аймаққа бөлу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елді мекендерінде орналасқан жері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Нұресіл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Жаңаесіл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Оразакқ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Қараменды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Төнкеріс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Жалғызкұдық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Жайнақ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Отаутүскен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Өтеміс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ЗелҰный Гай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Қосшоқы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Сарыадыр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