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4a3e" w14:textId="a0d4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2024 жылғы 25 желтоқсандағы № 17/2 "2025-2027 жылдарға арналған Сандықтау ауданының ауылдық округтер мен Мәдениет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2025 жылғы 18 наурыздағы № 20/2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"2025-2027 жылдарға арналған Сандықтау ауданының ауылдық округтерінің және Мәдениет ауылының бюджеттері туралы" 2024 жылғы 25 желтоқсандағы № 17/2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2025–2027 жылдарға арналған Балкашин ауылдық округінің бюджеті тиісінше 1, 1-1 және 1-2-қосымшаларға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109 378,0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103 036,0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5 278,0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111 389,8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-2 011,8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2 011,8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2025–2027 жылдарға арналған Барақпай ауылдық округінің бюджеті тиісінше 2, 2-1 және 2-2-қосымшаларға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23 830,9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23 864,2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2025–2027 жылдарға арналған Белгород ауылдық округінің бюджеті тиісінше 3, 3-1 және 3-2-қосымшаларға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-1 276,7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1 276,7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2025–2027 жылдарға арналған Бірлік ауылдық округінің бюджеті тиісінше 4, 4-1 және 4-2-қосымшаларға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576,0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2025–2027 жылдарға арналған Васильев ауылдық округінің бюджеті тиісінше 5, 5-1 және 5-2-қосымшаларға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31 879,4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16 413,4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2025–2027 жылдарға арналған Веселов ауылдық округінің бюджеті тиісінше 6, 6-1 және 6-2-қосымшаларға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17 806,0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-2 696,5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2 696,5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2025–2027 жылдарға арналған Жамбыл ауылдық округінің бюджеті тиісінше 7, 7-1 және 7-2-қосымшаларға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32 621,7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-1 963,7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1 963,7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2025–2027 жылдарға арналған Каменск ауылдық округінің бюджеті тиісінше 8, 8-1 және 8-2-қосымшаларға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279,2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2025–2027 жылдарға арналған Лесной ауылдық округінің бюджеті тиісінше 9, 9-1 және 9-2-қосымшаларға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30 895,6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976,5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2025–2027 жылдарға арналған Мәдениет ауылының бюджеті тиісінше 10, 10-1 және 10-2-қосымшаларға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373,5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2025–2027 жылдарға арналған Максимов ауылдық округінің бюджеті тиісінше 11, 11-1 және 11-2-қосымшаларға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2025–2027 жылдарға арналған Ақсораң ауылдық округінің бюджеті тиісінше 12, 12-1 және 12-2-қосымшаларға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27 413,9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826,9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2025–2027 жылдарға арналған Сандықтау ауылдық округінің бюджеті тиісінше 13, 13-1 және 13-2-қосымшаларға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35 112,6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-779,8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779,8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2025–2027 жылдарға арналған Широков ауылдық округінің бюджеті тиісінше 14, 14-1 және 14-2-қосымшаларға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612,3 мың теңге.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 15 қосымшаларына сәйкес жаңа редакцияда баяндалсын.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Барақпай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Белгород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Васильев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Веселов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Каменск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Лесной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Максимов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Ақсораң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Сандықтау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Широков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 мен Мәдениет ауылының бюджеттеріне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Маденит ауылы,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