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46f8" w14:textId="8664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2025 жылғы 23 желтоқсандағы № 39-293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шешiм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