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ecae" w14:textId="ee1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2024 жылғы 25 желтоқсандағы № 8С-39-1 "2025-2027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2 желтоқсандағы № 8С-50-1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2025-2027 жылдарға арналған ауылдарының, ауылдық округтерінің бюджеттері туралы" 2024 жылғы 25 желтоқсандағы № 8С-39-1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Белағаш ауылының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Беловод ауылдық округінің бюджеті тиісінше 4, 5 және 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(-8616,9)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8616,9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Жақсы ауылының бюджеті тиісінше 7, 8 және 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108750,2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218807,9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(-9072,6)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Жаңа Қима ауылдық округінің бюджеті тиісінше 10, 11 және 12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67213,7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26641,2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(-3991,3)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Запорожье ауылдық округінің бюджеті тиісінше 13, 14 және 15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60500,4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(-4557,8)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4557,8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Ешім ауылдық округінің тиісінше 16, 17 және 18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(-2602,9)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2602,9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Калинин ауылдық округінің тиісінше 19, 20 және 21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44302,9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(-1193,8)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1193,8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Киев ауылының бюджеті тиісінше 22, 23 және 24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44742,9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(-4643,4)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4643,4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Қызылсай ауылдық округінің тиісінше 25, 26 және 27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38020,3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Новокиенка ауылының бюджеті тиісінше 28, 29 және 30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(-3420,2)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Подгорное ауылының бюджеті тиісінше 31, 32 және 33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29584,1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(-765)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2025-2027 жылдарға арналған Тарасов ауылдық округінің бюджеті тиісінше 34, 35 және 36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Терісаққан ауылының бюджеті тиісінше 37, 38 және 39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(-2579)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2025-2027 жылдарға арналған Чапай ауылының бюджеті тиісінше 40, 41 және 42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28285,3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1250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Запорожье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Киев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Подгорное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Чапай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Ешім ауылдық округінің Ешім ауылындағы спорт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жиынтықта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Парус-ҚАЗ Бюджет бағдарламалық өнімін сүйемелдеу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тазарту станциясының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шұңқырларды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кезеңіне дайындық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және Казахское ауылдарында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сервистік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Моторы мен тіркемесі бар стандартты қайық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