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6621" w14:textId="cea6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2024 жылғы 25 желтоқсандағы № 8С-39-1 "2025-2027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2025 жылғы 30 маусымдағы № 8С-45-1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ауданының 2025-2027 жылдарға арналған ауылдарының, ауылдық округтерінің бюджеттері туралы" 2024 жылғы 25 желтоқсандағы № 8С-39-1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Белағаш ауылының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43643,8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33789,8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43643,8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Беловод ауылдық округінің бюджеті тиісінше 4, 5 және 6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40394,5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30312,5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(-8345,4)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8345,4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Жақсы ауылының бюджеті тиісінше 7, 8 және 9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205041,4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95637,4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(-9072,6)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9072,6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Жаңа Қийма ауылдық округінің бюджеті тиісінше 10, 11 және 12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66036,5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39490,5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70027,8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(-3991,3)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3991,3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Запорожье ауылдық округінің бюджеті тиісінше 13, 14 және 15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60500,4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42152,4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65058,2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(-4557,8)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4557,8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Ешім ауылдық округінің тиісінше 16, 17 және 18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76915,9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63482,3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79518,8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(-2602,9)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2602,9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Калинин ауылдық округінің тиісінше 19, 20 және 21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(-1193,8)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1193,8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Киев ауылының бюджеті тиісінше 22, 23 және 24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47554,9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37791,9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(-2054,4)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2054,4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Қызылсай ауылдық округінің тиісінше 25, 26 және 27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(-682,4)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682,4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Новокиенка ауылының бюджеті тиісінше 28, 29 және 30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36628,9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23916,9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(-3420,2)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3420,2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Подгорное ауылының бюджеті тиісінше 31, 32 және 33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30755,1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21330,1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(-765)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2025-2027 жылдарға арналған Тарасов ауылдық округінің бюджеті тиісінше 34, 35 және 36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30709,3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(-388)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2025-2027 жылдарға арналған Терісаққан ауылының бюджеті тиісінше 37, 38 және 39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34720,9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(-2579)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2579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2025-2027 жылдарға арналған Чапай ауылының бюджеті тиісінше 40, 41 және 42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(-1250)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1250 мың теңге.";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Беловод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Қима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Запорожье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Ешім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Калинин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Киев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Новокиенка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Подгорное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Тарасов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Чапай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ауданы Ешім ауылдық округінің Ешім ауылындағы спорт стадионын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Компьютерді жиынтықта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Парус-ҚАЗ Бюджет бағдарламалық өнімін сүйемелдеу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тазарту станциясының ғимаратын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бойынша шұңқырларды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күзет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кезеңіне дайындық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ауылындағы су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күзет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ауылының автомобиль жолдарын орташа жөндеу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және Казахское ауылдарында қар жинау және шығару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тазарту станциясына сервистік қызмет көрсету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Моторы мен тіркемесі бар стандартты қайық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