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3d1f" w14:textId="6f63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2024 жылғы 25 желтоқсандағы № 8С- 43/2 "2025-2027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11 шілдедегі № 8С-53/2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"2025-2027 жылдарға арналған Жарқайың ауданының Державин қаласы, ауылдық округтері мен ауылдарының бюджеттері туралы" 2024 жылғы 25 желтоқсандағы № 8С-43/2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Державин қаласының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- 401 327,8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- 117 933,8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- 280 658,0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- 434 167,3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(-32 839,5 )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- 32 839,5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Державин қаласының бюджетінде аудандық аудандық бюджеттен берілетін бюджеттік бюджеттік субвенциялар 17 436,0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Державин қаласының бюджетінде аудандық бюджеттен берілетін ағымдағы нысаналы трансферттер 263 222,0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Уәлихан ауылдық округінің бюджеті тиісінше 4, 5 және 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- 44 192,3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- 26 982,3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- 49 255,6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(-5 063,3)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- 5 063,3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бюджеттік бюджеттік субвенциялар 16 805,0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ағымдағы нысаналы трансферттер 10 177,3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Костычево ауылдық округінің бюджеті тиісінше 7, 8 және 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- 44 536,0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- 49 053,6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(- 4 517,6)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- 4 517,6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бюджеттік бюджеттік субвенциялар 9 491,0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ағымдағы нысаналы трансферттер 21 045,0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Нахимов ауылдық округінің бюджеті тиісінше 10, 11 және 12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- 31 974,3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- 35 244,5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(- 3 270,2)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- 3 270,2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бюджеттік бюджеттік субвенциялар 8 600,0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ағымдағы нысаналы трансферттер 16 019,0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Отрадный ауылдық округінің бюджеті тиісінше 13, 14 және 15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- 236 028,5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- 229 328,5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(-2 280,5)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- 2 280,5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бюджеттік бюджеттік субвенциялар 15 791,0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ағымдағы нысаналы трансферттер 213 537,5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Жаңадала ауылдық округінің бюджеті тиісінше 16, 17 және 18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- 50 380,0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- 57 457,5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(-7 077,5)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- 7 077,5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бюджеттік бюджеттік субвенциялар 17 115,0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ағымдағы нысаналы трансферттер 22 897,0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Гастелло ауылының бюджеті тиісінше 22, 23 және 24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- 30 706,0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- 34 008,6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(-3 302,6)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- 3 302,6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бюджеттік бюджеттік субвенциялар 12 923,0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ағымдағы нысаналы трансферттер 7 191,0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Далабай ауылының бюджеті тиісінше 25, 26 және 27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- 27 411,5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(-504,5)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- 504,5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бюджеттік бюджеттік субвенциялар 7 245,0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ағымдағы нысаналы трансферттер 16 962,0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Құмсуат ауылының бюджеті тиісінше 28, 29 және 30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- 27 291,0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(-534,8)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бюджеттік бюджеттік субвенциялар 7 321,0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ағымдағы нысаналы трансферттер 15 970,0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Львов ауылының бюджеті тиісінше 31, 32 және 33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- 27 706,0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- 29 472,2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(-1 766,2)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- 1 766,2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бюджеттік бюджеттік субвенциялар 8 177,0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ағымдағы нысаналы трансферттер 15 229,0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2025-2027 жылдарға арналған Пригород ауылының бюджеті тиісінше 34, 35 және 36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- 39 706,0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- 29 706,0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(-2 308,8)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- 2 308,8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бюджеттік бюджеттік субвенциялар 16 380,0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ағымдағы нысаналы трансферттер 13 326,0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Пятигор ауылының бюджеті тиісінше 37, 38 және 39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- 25 489,0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- 26 416,5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(-927,5)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бюджеттік бюджеттік субвенциялар 8 344,0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ағымдағы нысаналы трансферттер 13 145,0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2025-2027 жылдарға арналған Үшқарасу ауылының бюджеті тиісінше 46, 47 және 48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- 23 178,0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(- 3 348,8)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- 3 348,8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бюджеттік бюджеттік субвенциялар 5 453,0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ағымдағы нысаналы трансферттер 14 125,0 мың теңге сомасында қарастырылғаны ескерілсін.".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Гастелло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Далабай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Құмсуат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Львов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Пятигор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Үшқарасу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