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e7b9" w14:textId="0bde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25 желтоқсандағы № С-18/2 "2025 - 2027 жылдарға арналған Біржан сал ауданы Степняк қаласының, ауылдық округтер мен ауылдар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28 қарашадағы № С-28/3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Біржан сал ауданы мәслихатының "2025-2027 жылдарға арналған Біржан сал ауданы Степняк қаласының, ауылдық округтер мен ауылдар бюджеттері туралы" 2024 жылғы 25 желтоқсандағы № С-18/2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Біржан сал ауданы Степняк қаласының бюджеті тиісінше 1, 2 және 3-қосымшаларға сәйкес, 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Біржан сал ауданы Аңғал батыр ауылдық округінің бюджеті тиісінше 7, 8 және 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50 492,5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Біржан сал ауданы Баймырза ауылдық округінің бюджеті тиісінше 10, 11 және 12-қосымшаларға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50 567,8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44 207,8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54 717,8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Біржан сал ауданы Бірсуат ауылдық округінің бюджеті тиісінше 13, 14 және 15-қосымшаларға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41 607,7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5 360,7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Біржан сал ауданы Уәлихан ауылдық округінің бюджеті тиісінше 16, 17 және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Біржан сал ауданы Донской ауылдық округінің бюджеті тиісінше 19, 20 және 21-қосымшаларға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222 670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308 211,2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-85 541,2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85 541,2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Біржан сал ауданы Еңбекшілдер ауылдық округінің бюджеті тиісінше 22, 23 және 24-қосымшаларға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79 987,8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75 239,8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81 287,8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2025 - 2027 жылдарға арналған Біржан сал ауданы Заурал ауылдық округінің бюджеті тиісінше 25, 26 және 27-қосымшаларға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46 089,4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48 174,6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2 085,2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Біржан сал ауданы Макинка ауылдық округінің бюджеті тиісінше 28, 29 және 30-қосымшаларға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286 834,2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-53 454,2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53 454,2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2025 - 2027 жылдарға арналған Біржан сал ауданы Үлгі ауылдық округінің бюджеті тиісінше 31, 32 және 33-қосымшаларға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7 802,3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2025 - 2027 жылдарға арналған Біржан сал ауданы Заозерный ауылының бюджеті тиісінше 34, 35 және 36-қосымшаларға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Біржан сал ауданы Кеңащы ауылының бюджеті тиісінше 37, 38 және 39-қосымшаларға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2025 - 2027 жылдарға арналған Біржан сал ауданы Краснофлот ауылының бюджеті тиісінше 40, 41 және 42-қосымшаларға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2025 - 2027 жылдарға арналған Біржан сал ауданы Мамай ауылының бюджеті тиісінше 43, 44 және 45-қосымшаларға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4 000 мың теңге;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Степняк қаласының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Аңғал батыр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Донской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Еңбекшілдер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Заурал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Заозерный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Кеңащы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Краснофлот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Мамай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