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487" w14:textId="7802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2024 жылғы 26 желтоқсандағы № 30/2 "Аршалы ауданының кент,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2025 жылғы 17 маусымдағы № 37/2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2024 жылғы 26 желтоқсандағы №.30/2 "Аршалы ауданының кентінің, ауылдық округтерінің 2025-2027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89-бабына,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 Аршалы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Аршалы кентінің бюджеті тиісінше 1, 2, 3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337 152,0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149 019,0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- 19 897,0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19 897,0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Ижев ауылдық округінің 2025-2027 жылдарға арналған бюджеті тиісінше 4, 5, 6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936,3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Жібек жолы ауылдық округінің 2025-2027 жылдарға арналған бюджеті тиісінше 7, 8, 9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1 119 766,0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929 600,0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1 149 766,0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30 000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Анар ауылдық округінің 2025-2027 жылдарға арналған бюджеті тиісінше 10,..11,..12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2 385,0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Бірсуат ауылдық округінің 2025-2027 жылдарға арналған бюджеті тиісінше 13,..14,..15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853,0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Михайлов ауылдық округінің 2025-2027 жылдарға арналған бюджеті тиісінше 22, 23, 24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1 000,0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Елтоқ ауылдық округінің 2025-2027 жылдарға арналған бюджеті тиісінше 25, 26, 27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73 887,0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1 451,0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Арнасай ауылдық округінің 2025-2027 жылдарға арналған бюджеті тиісінше 28, 29, 30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- 5 435,8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5 435,8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Сараба ауылдық округінің 2025-2027 жылдарға арналған бюджеті тиісінше 31, 32, 33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4 293,2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Бұлақсай ауылдық округінің 2025-2027 жылдарға арналған бюджеті тиісінше 34, 35, 36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800,0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Ақбұлақ ауылдық округінің 2025-2027..жылдарға арналған бюджеті тиісінше 37, 38, 39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36 025,0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Елтоқ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27 330,0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27 330,0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27 330,0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Сараба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