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7747" w14:textId="4a577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тамақтандыруды ұйымдастыру қағидаларын бекіту туралы" Қазақстан Республикасы Қорғаныс министрінің 2017 жылғы 4 тамыздағы № 414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2 қыркүйектегі № 1200 бұйрығы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5-тармақтан</w:t>
      </w:r>
      <w:r>
        <w:rPr>
          <w:rFonts w:ascii="Times New Roman"/>
          <w:b/>
          <w:i w:val="false"/>
          <w:color w:val="000000"/>
          <w:sz w:val="28"/>
        </w:rPr>
        <w:t xml:space="preserve"> қараңыз.</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1."Қазақстан Республикасының Қарулы Күштерінде тамақтандыруды ұйымдастыру қағидаларын бекіту туралы" Қазақстан Республикасы Қорғаныс министрінің 2017 жылғы 4 тамыздағы № 414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15669 болып тіркелген) мынадай өзгерістер енгізілсін:</w:t>
      </w:r>
    </w:p>
    <w:bookmarkEnd w:id="0"/>
    <w:bookmarkStart w:name="z6"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тамақтандыруды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 Осы Қазақстан Республикасының Қарулы Күштерінде тамақтандыруды ұйымдастыру қағидалары (бұдан әрі – Қағидалар) Қазақстан Республикасының Қарулы Күштерінде әскери қызметшілер, ұландар, кадеттер, оқу-жаттығу жиындары мен әскери-оқу практикасы кезеңінде әскери кафедралардың (әскери факультеттердің) студенттері, әскери оқу орындарына түсу кезінде әскерге шақырылушылар, оқуға түсу емтихандарын тапсыруға келген және әскери колледждерде казармалық жағдайда болатын кандидаттар, сондай-ақ резервтегі әскери қызметті өткеріп жүрген әскери қызметшілер (бұдан әрі – жабдықталымдағы адамдар) үшін тамақтандыруды ұйымдастыру тәртібін мынадай жағдайда айқындайды:";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"Төрт рет тамақтану жоспарланатын авиациялық бөлімдерді, әскери-медициналық мекемелерді және әскери колледждерді қоспағанда, әскери бөлімдерде ыстық тамақ тәулігіне үш рет таңғы асқа, түскі асқа және кешкі асқа дайындалып, беріледі.";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"75. Әскери колледжде тамақтандыру оқу жоспарына, әскери колледж бастығы бекіткен күн тәртібіне сәйкес және оқушылардың қалауын ескеріп, төрт рет ұйымдастырылады.".</w:t>
      </w:r>
    </w:p>
    <w:bookmarkEnd w:id="4"/>
    <w:bookmarkStart w:name="z13" w:id="5"/>
    <w:p>
      <w:pPr>
        <w:spacing w:after="0"/>
        <w:ind w:left="0"/>
        <w:jc w:val="both"/>
      </w:pPr>
      <w:r>
        <w:rPr>
          <w:rFonts w:ascii="Times New Roman"/>
          <w:b w:val="false"/>
          <w:i w:val="false"/>
          <w:color w:val="000000"/>
          <w:sz w:val="28"/>
        </w:rPr>
        <w:t>
      2. Қазақстан Республикасы Қарулы Күштері Тыл бастығының басқармасы Қазақстан Республикасының заңнамасында белгіленген тәртіппен:</w:t>
      </w:r>
    </w:p>
    <w:bookmarkEnd w:id="5"/>
    <w:bookmarkStart w:name="z14" w:id="6"/>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(Нормативтік құқықтық актілерді мемлекеттік тіркеу тізілімінде №33059 болып тіркелген)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5" w:id="7"/>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7"/>
    <w:bookmarkStart w:name="z16" w:id="8"/>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тармақтың 1) және 2) тармақшаларды орындалуы туралы мәліметтерді Қазақстан Республикасы Қорғаныс министрлігінің Заң департаментіне жіберуді қамтамасыз етсін.</w:t>
      </w:r>
    </w:p>
    <w:bookmarkEnd w:id="8"/>
    <w:bookmarkStart w:name="z17" w:id="9"/>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9"/>
    <w:bookmarkStart w:name="z18" w:id="10"/>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0"/>
    <w:bookmarkStart w:name="z19"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бірақ 2025 жылғы 16 қыркүйектен ерте емес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авиация</w:t>
            </w:r>
          </w:p>
          <w:p>
            <w:pPr>
              <w:spacing w:after="0"/>
              <w:ind w:left="0"/>
              <w:jc w:val="left"/>
            </w:pPr>
          </w:p>
          <w:p>
            <w:pPr>
              <w:spacing w:after="20"/>
              <w:ind w:left="20"/>
              <w:jc w:val="both"/>
            </w:pPr>
            <w:r>
              <w:rPr>
                <w:rFonts w:ascii="Times New Roman"/>
                <w:b w:val="false"/>
                <w:i/>
                <w:color w:val="000000"/>
                <w:sz w:val="20"/>
              </w:rPr>
              <w:t>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