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2a50" w14:textId="edb2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бұйрығына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мамырдағы № 627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19.05.2025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15803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8" w:id="4"/>
    <w:p>
      <w:pPr>
        <w:spacing w:after="0"/>
        <w:ind w:left="0"/>
        <w:jc w:val="both"/>
      </w:pPr>
      <w:r>
        <w:rPr>
          <w:rFonts w:ascii="Times New Roman"/>
          <w:b w:val="false"/>
          <w:i w:val="false"/>
          <w:color w:val="000000"/>
          <w:sz w:val="28"/>
        </w:rPr>
        <w:t xml:space="preserve">
      "2-1. Резервте әскери қызмет өткеретін әскери қызметшілер далалық киім нысанын жауынгерлік даярлық бойынша сабақта немесе жиында, сондай-ақ дағдарысты жағдайдағы жиында киіп жүреді.". </w:t>
      </w:r>
    </w:p>
    <w:bookmarkEnd w:id="4"/>
    <w:bookmarkStart w:name="z9" w:id="5"/>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8"/>
    <w:bookmarkStart w:name="z13"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9"/>
    <w:bookmarkStart w:name="z14"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5" w:id="11"/>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Бас прокуратурасы</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Мемлекеттік күзет қызметі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Ұлттық қауіпсіздік комитеті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Төтенше жағдайлар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Ішкі істер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