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dbc2" w14:textId="118d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2023 жылғы 27 желтоқсандағы № 14-1 "2024-2026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қарашадағы № 23-4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"2024-2026 жылдарға арналған Бірлік ауылдық округінің бюджеті туралы" 2023 жылғы 27 желтоқсандағы № 14-1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36 492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