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559f" w14:textId="2b75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29 сәуірдегі № 111-НҚ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индекс Е02МОМ1, Атырау облысы, Атырау қаласы, Қ. Сәтбаев көшесі, 13-үй, 2 т.е бөлме".</w:t>
      </w:r>
    </w:p>
    <w:bookmarkStart w:name="z5" w:id="3"/>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xml:space="preserve">
      1) осы бұйрыққа қол қойылғаннан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7" w:id="5"/>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Агенттіктің Атырау облысы бойынша департаменті осы бұйрықтан туындайтын қажетті шараларды қабылдасын.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