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a182" w14:textId="550a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ауданында бөлек жергілікті қоғамдастық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28 қазандағы № 7/50-VIII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Үлкен Нарын ауданында бөлек жергілікті қоғамдастық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28 қазандағы </w:t>
            </w:r>
            <w:r>
              <w:br/>
            </w:r>
            <w:r>
              <w:rPr>
                <w:rFonts w:ascii="Times New Roman"/>
                <w:b w:val="false"/>
                <w:i w:val="false"/>
                <w:color w:val="000000"/>
                <w:sz w:val="20"/>
              </w:rPr>
              <w:t>№7/50-VIII шешіміне қосымша</w:t>
            </w:r>
          </w:p>
        </w:tc>
      </w:tr>
    </w:tbl>
    <w:bookmarkStart w:name="z10" w:id="3"/>
    <w:p>
      <w:pPr>
        <w:spacing w:after="0"/>
        <w:ind w:left="0"/>
        <w:jc w:val="left"/>
      </w:pPr>
      <w:r>
        <w:rPr>
          <w:rFonts w:ascii="Times New Roman"/>
          <w:b/>
          <w:i w:val="false"/>
          <w:color w:val="000000"/>
        </w:rPr>
        <w:t xml:space="preserve"> Үлкен Нарын ауданында бөлек жергілікті қоғамдастық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қағидалары</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xml:space="preserve">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аудандық маңызы бар қала, ауыл, кент, ауылдық округ тұрғындарының жергілікті қоғамдастықтың бөлек жиындарын өткізудің үлгілік тәртібін белгілейді.</w:t>
      </w:r>
    </w:p>
    <w:bookmarkEnd w:id="5"/>
    <w:bookmarkStart w:name="z13"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5"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6"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7" w:id="10"/>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0"/>
    <w:bookmarkStart w:name="z18"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9" w:id="12"/>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20"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21"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2"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3"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4"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5" w:id="18"/>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bookmarkEnd w:id="18"/>
    <w:bookmarkStart w:name="z26" w:id="19"/>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8"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1"/>
    <w:bookmarkStart w:name="z29"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0"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1"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24"/>
    <w:bookmarkStart w:name="z32"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3"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4"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5"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6"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7"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