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a936" w14:textId="f37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Күршім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31/4-VIII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- 7434428,8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- 1431327,0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- 5967299,8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- 7567312,2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- 248138,4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- 248138,4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- 224805,0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47/3-VIII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бюджетке 2025 жылға берілген субвенция көлемі 675204,0 мың теңге, 2026 жылға 675204,0 мың теңге, 2027 жылға 675204,0 мың теңге сомасында аудандық бюджетте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"2025-2027 жылдарға арналған облыстық бюджет туралы" 2024 жылғы 15 желтоқсандағы № 19/142-VІІI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бюджетінде 2025 жылға арналған әлеуметтік салық, жеке табыс салығы бойынша кірістерді бөлу нормативтері 100 пайыз орындауға қабылдансын.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20237,0 мың теңге сомасында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бөлінген 395249,0 мың теңге ағымдағы нысаналы трансферттер қарастырылсын.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республикалық бюджеттен бөлінген 2056310,0 мың теңге дамуға арналған нысаналы трансферттер қарастырылсын.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 республикалық бюджеттен бөлінген мамандарға әлеуметтік қолдау шараларын көрсетуге 190702,0 мың теңгеге кредиттер қарастырылсын.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47/3-VIII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