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00e8" w14:textId="5880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Сауран аудандық мәслихатының 2023 жылғы 25 желтоқсандағы № 110 "2024-2026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аудандық мәслихатының 2024 жылғы 12 қарашадағы № 193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Сауран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ауылдық округтердің бюджеттері туралы" Сауран аудандық мәслихатының 2023 жылғы 25 желтоқсандағы №110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Бабайқорған ауылдық округінің 2024-2026 жылдарға арналған бюджеті тиісінше 1, 2 және 3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111 788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11 959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6 791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113 751 349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- 1 963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1 963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Ескі Иқан ауылдық округінің 2024-2026 жылдарға арналған бюджеті тиісінше 4, 5 және 6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125 432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50 487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133 508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8 076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8 076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Жаңа Иқан ауылдық округінің 2024-2026 жылдарға арналған бюджеті тиісінше 7, 8 және 9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99 537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104 222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98 943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- 4 685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4 685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4 685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Жібек Жолы ауылдық округінің 2024-2026 жылдарға арналған бюджеті тиісінше 10, 11 және 12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46 081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38 846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1 223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Жүйнек ауылдық округінің 2024-2026 жылдарға арналған бюджеті тиісінше 13, 14 және 15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124 333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40 030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18 202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66 101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148 453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24 120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24 120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Иассы ауылдық округінің 2024-2026 жылдарға арналған бюджеті тиісінше 16, 17 және 18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105 064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34 797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60 466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113 012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- 7 948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7 948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7 948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Қарашық ауылдық округінің 2024-2026 жылдарға арналған бюджеті тиісінше 19, 20 және 21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108 625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28 211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37 054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118 888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- 10 263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10 263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10 263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Майдантал ауылдық округінің 2024-2026 жылдарға арналған бюджеті тиісінше 22, 23 және 24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84 743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2 700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74 226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86 887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2 144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Оранғай ауылдық округінің 2024-2026 жылдарға арналған бюджеті тиісінше 25, 26 және 27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119 664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47 448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40 338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143 542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- 23 878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23 878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23 878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Үшқайық ауылдық округінің 2024-2026 жылдарға арналған бюджеті тиісінше 28, 29 және 30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87 203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13 390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4 091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69 722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2 299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Шаға ауылдық округінің 2024-2026 жылдарға арналған бюджеті тиісінше 31, 32 және 33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155 162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31 437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56 454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67 271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162 550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- 7 388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–7 388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7 388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Шорнақ ауылдық округінің 2024-2026 жылдарға арналған бюджеті тиісінше 34, 35 және 36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137 078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42 129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29 888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65 061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149 811мың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- 12 733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12 733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12 733 мың теңге.".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С.Байсбаев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Бабайқорған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Ескі Иқан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 Иқан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№193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Жібек Жолы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№193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Жүйнек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№193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Иассы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№193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Қарашық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№193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Майдантал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№193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Оранғай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№193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Үшқайық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№193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Шаға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№193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Шорнақ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