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a08" w14:textId="2e3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25 желтоқсандағы № 9-86-VIII "2024-2026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22 қарашадағы № 20-149-VIII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ауыл және ауылдық округтер бюджеттері туралы" 2023 жылғы 25 желтоқсандағы №9-86-VІІІ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Абай ауылының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288 322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249 821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47 984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2024-2026 жылдарға арналған бюджеті 10, 11 және 12-қосымшаға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118 366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2 850 мыңге;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178 465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186 245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№20-149-VIII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