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a288" w14:textId="73ca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2023 жылғы 29 желтоқсандағы № 12-75-VIII "2024-2026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12 тамыздағы № 19-115-VIII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қала, кент және ауылдық округтердің бюджеті туралы" Жетісай аудандық мәслихатының 2023 жылғы 29 желтоқсандағы№12-75-VIII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2024-2026 жылдарға арналған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602 108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578 640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Жаңа ауыл ауылдық округінің 2024-2026 жылдарға арналған бюджеті 4,5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64 527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2024-2026 жылдарға арналған бюджеті 7, 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2024-2026 жылдарға арналған бюджеті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Қарақай ауылдық округінің 2024-2026 жылдарға арналған бюджеті 13, 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2024-2026 жылдарға арналған бюджеті 16, 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190 561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2024-2026 жылдарға арналған бюджеті 19, 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87 218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–6 204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2024-2026 жылдарға арналған бюджеті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2024-2026 жылдарға арналған бюджеті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2024-2026 жылдарға арналған бюджеті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122 416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2024-2026 жылдарға арналған бюджеті 31, 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2024-2026 жылдарға арналған бюджеті 34, 35 және 36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102 971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Ынтымақ ауылдық округінің 2024-2026 жылдарға арналған бюджеті 37, 38 және 39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- 8 496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8 496 мың теңге.".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