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0bc4" w14:textId="0560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2023 жылғы 29 желтоқсандағы № 12-75-VIII "2024-2026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2024 жылғы 6 мамырдағы № 16-98-VІIІ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"2024-2024 жылдарға арналған қала, кент және ауылдық округтердің бюджеті туралы" Жетісай аудандық мәслихатының 2023 жылғы 29 желтоқсандағы №12-75-VIІІ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Жетісай қаласының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390 230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366 762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Жылы су ауылдық округінің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94 955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Қазыбек би ауылдық округінің 2024-2026 жылдарға арналған бюджеті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Қарақай ауылдық округінің 2024-2026 жылдарға арналған бюджеті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Асықата кентінің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114 150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Абай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76 845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6 204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Атамекен ауылдық округінің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84 993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Ш.Ділдабеков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80 090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50 942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Ж.Ералиев ауылдық округінің 2024-2026 жылдарға арналған бюджеті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100 001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Қызылқұм ауылдық округінің 2024-2026 жылдарға арналған бюджеті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69 578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Мақталы ауылдық округінің 2024-2026 жылдарға арналған бюджеті 34, 35 және 36-қосымшаларға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8 916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Жетісай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№16-99-VІIІ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