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116b" w14:textId="6291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2023 жылғы 25 желтоқсандағы № 16-82-VІІІ "2024-2026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2024 жылғы 23 желтоқсандағы № 30-154-VIII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"2024-2026 жылдарға арналған қала, ауылдық округтердің бюджеті туралы" 2023 жылғы 25 желтоқсандағы №16-82-VIII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қаласының 2024-2026 жылдарға арналған бюджеті 1, 2 және 3-қосымшаларға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612 844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450 192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161 931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622 735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-9 891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9 891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9 891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2024-2026 жылдарға арналған бюджеті 4, 5, 6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105 696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28 925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76 771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106 799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-1 103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1 103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1 103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2024-2026 жылдарға арналған бюджеті 7, 8, 9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113 399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44 786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68 425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113 396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 ата ауылдық округінің 2024-2026 жылдарға арналған бюджеті 10, 11, 12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103 639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28 094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75 545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104 528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889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889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2024-2026 жылдарға арналған бюджеті 13, 14, 15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111 460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47 018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64 355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113 558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-2 098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2 098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2 098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2024-2026 жылдарға арналған бюджеті 16, 17, 18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80 808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65 677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81 629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821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2024-2026 жылдарға арналған бюджеті 19, 20, 21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104 282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12 053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92 123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104 295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2024-2026 жылдарға арналған бюджеті 22, 23, 24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86 008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16 265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69 743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87 036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1 028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2024-2026 жылдарға арналған бюджеті 25, 26, 27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111 645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12 019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99 626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113 327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1 682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1 682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2024-2026 жылдарға арналған бюджеті 28, 29, 30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131 233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13 923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117 133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131 354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2024-2026 жылдарға арналған бюджеті 31, 32, 33 қосымшаларға сәйкес, соның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114 363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19 291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95 072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115 093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730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30-154-VIII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30-154-VIII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30-154-VIII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30-154-VIII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Ұзын-ата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30-154-VIII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30-154-VIII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30-154-VIII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Шардара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30-154-VIII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30-154-VIII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30-154-VIII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30-154-VIII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