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7e37" w14:textId="8e47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25 желтоқсандағы № 16-82-VІІІ "2024-2026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30 қыркүйектегі № 27-146-VIII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қала, ауылдық округтердің бюджеті туралы" 2023 жылғы 25 желтоқсандағы №16-82-VIII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2024-2026 жылдарға арналған бюджеті 1, 2 және 3-қосымшаларға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606 662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389 756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216 542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616 553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- 9 891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9 891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9 891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2024-2026 жылдарға арналған бюджеті 4, 5, 6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105 221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75 996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2024-2026 жылдарға арналған бюджеті 7, 8, 9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112 502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34 786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77 528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112 967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2024-2026 жылдарға арналған бюджеті 10, 11, 12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27 944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2024-2026 жылдарға арналған бюджеті 13, 14, 15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109 304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42 993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111 402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2024-2026 жылдарға арналған бюджеті 16, 17, 18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81 181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2024-2026 жылдарға арналған бюджеті 19, 20, 21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92 429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103 120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2024-2026 жылдарға арналған бюджеті 22, 23, 24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85 277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69 162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86 305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1028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2024-2026 жылдарға арналған бюджеті 25, 26, 27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109 456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111 138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2024-2026 жылдарға арналған бюджеті 28, 29, 30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128 041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13 744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128 162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2024-2026 жылдарға арналған бюджеті 31, 32, 33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113 254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94 163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113 984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730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