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ed2" w14:textId="e02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25 желтоқсандағы № 16-82-VІІІ "2024-2026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29 сәуірдегі № 23-114-VIII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қала, ауылдық округтердің бюджеті туралы" 2023 жылғы 25 желтоқсандағы №16-82-VIII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2024-2026 жылдарға арналған бюджеті 1, 2 және 3-қосымшаларға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694 827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333 381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360 813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704 718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- 9 891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9 891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9 891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2024-2026 жылдарға арналған бюджеті 4, 5, 6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100 676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25 965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74 451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101 779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2024-2026 жылдарға арналған бюджеті 7, 8, 9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100 620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30 528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69 912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2024-2026 жылдарға арналған бюджеті 10, 11, 12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25 944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77 715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2024-2026 жылдарға арналған бюджеті 13, 14, 15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2 098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2024-2026 жылдарға арналған бюджеті 16, 17, 18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79 564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80 385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2024-2026 жылдарға арналған бюджеті 19, 20, 21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119 439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2024-2026 жылдарға арналған бюджеті 22, 23, 24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62 098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1 028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2024-2026 жылдарға арналған бюджеті 25, 26, 27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100 781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2024-2026 жылдарға арналған бюджеті 28, 29, 30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119 656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105 808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119 777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2024-2026 жылдарға арналған бюджеті 31, 32, 33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110 907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89 816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730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 шешіміне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