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6b4c" w14:textId="2eb6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2024 жылғы 28 ақпандағы № 20-94-VIII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Ұлттық экономика министрінің 2023 жылғы 29 маусымдағы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аудан әкімінің 2024 жылғы 26 ақпандағы №500 ұсыныс хатына сәйкес, Шардара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мемлекеттік қызметі туралы Заңының 56 бабы </w:t>
      </w:r>
      <w:r>
        <w:rPr>
          <w:rFonts w:ascii="Times New Roman"/>
          <w:b w:val="false"/>
          <w:i w:val="false"/>
          <w:color w:val="000000"/>
          <w:sz w:val="28"/>
        </w:rPr>
        <w:t>12 тармағының</w:t>
      </w:r>
      <w:r>
        <w:rPr>
          <w:rFonts w:ascii="Times New Roman"/>
          <w:b w:val="false"/>
          <w:i w:val="false"/>
          <w:color w:val="000000"/>
          <w:sz w:val="28"/>
        </w:rPr>
        <w:t xml:space="preserve"> талаптарын сақтай отырып, 2024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xml:space="preserve">
      2. Осы шешім оның алғашқы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