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3a4" w14:textId="88f8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2023 жылғы 27 желтоқсандағы № 9/51-VIII "2024-2026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13 мамырдағы № 13/75-VIII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2023 жылғы 27 желтоқсандағы №9/51-VIII "2024-2026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2024-2026 жылдарға арналған бюджеті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375 193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291 627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66 722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52 907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87 753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48 490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2024-2026 жылдарға арналған бюджеті 37, 38 және 39-қосымшаларға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66 174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 VIII шешіміне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№13/75-VIII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мемлекеттік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