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313" w14:textId="cb9f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27 желтоқсандағы "2024 – 2026 жылдарға арналған ауылдық округтердің бюджеттері туралы" № 12/56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желтоқсандағы № 25/150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2024 - 2026 жылдарға арналған бюджеті тиісінше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2024 - 2026 жылдарға арналған бюджеті тиісінше 4, 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2024 - 2026 жылдарға арналған бюджеті тиісінше 7, 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2024 - 2026 жылдарға арналған бюджеті тиісінше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2024 - 2026 жылдарға арналған бюджеті тиісінше 13, 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211 440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16 292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148 469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2024 - 2026 жылдарға арналған бюджеті тиісінше 16, 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123 486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2024 - 2026 жылдарға арналған бюджеті тиісінше 19, 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2024 – 2026 жылдарға арналған бюджеті тиісінше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199 672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127 381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2024 - 2026 жылдарға арналған бюджеті тиісінше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88 845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2024 - 2026 жылдарға арналған бюджеті тиісінше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2024 - 2026 жылдарға арналған бюджеті тиісінше 31, 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