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88c1" w14:textId="5e68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27 желтоқсандағы "2024–2026 жылдарға арналған ауылдық округтердің бюджеттері туралы" № 12/56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9 мамырдағы № 12/56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2024 - 2026 жылдарға арналған бюджеті тиісінше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91 257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2024 - 2026 жылдарға арналған бюджеті тиісінше 4, 5 және 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2024 - 2026 жылдарға арналған бюджеті тиісінше 7, 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2024 - 2026 жылдарға арналған бюджеті тиісінше 10, 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2024 - 2026 жылдарға арналған бюджеті тиісінше 13, 14 және 15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197 688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–60 245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134 865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2024 - 2026 жылдарға арналған бюджеті тиісінше 16, 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–103352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68512мың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2024 - 2026 жылдарға арналған бюджеті тиісінше 19, 20 және 21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90 340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2024 – 2026 жылдарға арналған бюджеті тиісінше 22, 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201 396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127 381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201 396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2024 - 2026 жылдарға арналған бюджеті тиісінше 25, 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2024 - 2026 жылдарға арналған бюджеті тиісінше 28, 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2024 - 2026 жылдарға арналған бюджеті тиісінше 31, 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№12/56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