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9a4a" w14:textId="14a9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7 ақпандағы № 42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1. "Rich Investment" жауапкершілігі шектеулі серіктестігіне Кентау қаласы, Ащысай ауылы аумағынан пайдалы қазбаларды барлау үшін, жалпы көлемі 71,32 гектар жер учаскесін меншік иелері мен жер пайдаланушылардан алып қоймастан 2025 жылдың 04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"Rich Investment" жауапкершілігі шектеулі серіктестігі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2"/>
    <w:bookmarkStart w:name="z4" w:id="3"/>
    <w:p>
      <w:pPr>
        <w:spacing w:after="0"/>
        <w:ind w:left="0"/>
        <w:jc w:val="both"/>
      </w:pPr>
      <w:r>
        <w:rPr>
          <w:rFonts w:ascii="Times New Roman"/>
          <w:b w:val="false"/>
          <w:i w:val="false"/>
          <w:color w:val="000000"/>
          <w:sz w:val="28"/>
        </w:rPr>
        <w:t xml:space="preserve">
      3. Кентау қаласы әкімдігінің "Кентау қалалық жер қатынастары бөлімі" мемлекеттік мекемесі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жарияланғаннан кейін осы қаулыны Кентау қаласы әкімдігінің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Кентау қаласы әкімінің орынбасары Ғ.Төлеповке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