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e388" w14:textId="6dee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24 қыркүйектегі № 193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20209 болып тіркелген),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(килограмм, грамм, дана)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(сложный 2-этилгексил эфирі),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Крафт,КЭ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+ гамма-цигалотрин, 6,4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вулы-суспензия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250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АД-120000 ЕА/миллилитр, 32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қышқылы (сложный 2-этилгексиловыйэфир),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 / л + пиклорам 80 г / л+ аминопиралид 17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MЦПA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 (энтомофагтар)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 (Brakon hebetor Say)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 (Chrysopa carnea Steph.)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 және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ретінде және ауыл шаруашылығы өнімін өндірушілердің қойма үй-жайларында зиянкестерге қарсы қорларды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нан өнімдері жүйесіндегі кәсіпорындарда зиянкестерге қарсы қорларды қолдануға рұқсат етілген инсектицид және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қосарлы мақсаттағы мемлекеттік тіркеуден өткен және инсектицид және егу алдындағы емдеуге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