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b608" w14:textId="29d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256/20 шешiмi. Күші жойылды - Солтүстік Қазақстан облысы Тайынша ауданы мәслихатының 2025 жылғы 8 мамырдағы № 312/23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51489,9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Драгомиров ауылдық округі бюджетінің кірістері Қазақстан Республикасы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Драгомиров ауылдық округінің бюджетінде республикалық бюджеттен 20 мың теңге сомасында ағымдағы нысаналы трансферттер түсімі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Драгомиров ауылдық округінің бюджетінде аудандық бюджеттен 1429 мың теңге сомасында ағымдағы нысаналы трансферттер түсімі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Драгомиров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Драгомиров ауылдық округінің бюджетіне аудандық бюджеттен берілетін бюджеттік субвенция 26643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