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1922b" w14:textId="6719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2024 жылғы 24 желтоқсандағы № 23/348 шешімі</w:t>
      </w:r>
    </w:p>
    <w:p>
      <w:pPr>
        <w:spacing w:after="0"/>
        <w:ind w:left="0"/>
        <w:jc w:val="both"/>
      </w:pPr>
      <w:bookmarkStart w:name="z4"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2025 жылы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5"/>
    <w:bookmarkStart w:name="z10" w:id="6"/>
    <w:p>
      <w:pPr>
        <w:spacing w:after="0"/>
        <w:ind w:left="0"/>
        <w:jc w:val="both"/>
      </w:pPr>
      <w:r>
        <w:rPr>
          <w:rFonts w:ascii="Times New Roman"/>
          <w:b w:val="false"/>
          <w:i w:val="false"/>
          <w:color w:val="000000"/>
          <w:sz w:val="28"/>
        </w:rPr>
        <w:t>
      2. Осы шешімнің 1-тармағы сонымен қатар ветеринария саласындағы қызметті жүзеге асыратын ветеринариялық пунктерінің ветеринария мамандарына қолданылады.</w:t>
      </w:r>
    </w:p>
    <w:bookmarkEnd w:id="6"/>
    <w:bookmarkStart w:name="z11" w:id="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2025 жылғы 1 қаңтардан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