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06aa" w14:textId="1330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2023 жылғы 27 желтоқсандағы № 12-3 "2024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2024 жылғы 30 қыркүйектегі № 20-2 шешімі</w:t>
      </w:r>
    </w:p>
    <w:p>
      <w:pPr>
        <w:spacing w:after="0"/>
        <w:ind w:left="0"/>
        <w:jc w:val="both"/>
      </w:pPr>
      <w:bookmarkStart w:name="z4" w:id="0"/>
      <w:r>
        <w:rPr>
          <w:rFonts w:ascii="Times New Roman"/>
          <w:b w:val="false"/>
          <w:i w:val="false"/>
          <w:color w:val="000000"/>
          <w:sz w:val="28"/>
        </w:rPr>
        <w:t>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2023 жылғы 27 желтоқсандағы №12-3 "2024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