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4579" w14:textId="ea04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Қаратерек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17 қаңтардағы № 6/10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Қаратерек ауылдық округінің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Қаратерек ауылдық округінің аумағында жергілікті қоғамдастық жиынына қатысу үшін тұрғындардың жалпы санының 1 (бір) проценті мөлшерінде, бірақ 3 (үш) адамнан аспайтын мөлшерде Қаратерек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қаңтардағы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Май ауданы Қаратерек ауылдық округінің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Май ауданы Қаратерек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Қаратерек ауылдық округінің аумағында бөлек жергілікті қоғамдастық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Қаратерек ауылдық округінің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бөлекжиындарын өткізу тәртібі</w:t>
      </w:r>
    </w:p>
    <w:bookmarkEnd w:id="8"/>
    <w:bookmarkStart w:name="z11" w:id="9"/>
    <w:p>
      <w:pPr>
        <w:spacing w:after="0"/>
        <w:ind w:left="0"/>
        <w:jc w:val="both"/>
      </w:pPr>
      <w:r>
        <w:rPr>
          <w:rFonts w:ascii="Times New Roman"/>
          <w:b w:val="false"/>
          <w:i w:val="false"/>
          <w:color w:val="000000"/>
          <w:sz w:val="28"/>
        </w:rPr>
        <w:t>
      3. Бөлек жергілікті қоғамдастық жиынын өткізу үшін Қаратерек ауылдық округінің аумағы учаскелерге бөлінеді: Қаратерек ауылы және Х.Сейтказин ауылы.</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Қаратерек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Қаратерек ауылдық округінің әкімі бұқаралық ақпарат құралдары, Instagram, Facebook, Whats’App әлеуметтік желілері арқылы немесе өзге де тәсілдер 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жиынына 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қабілетсіздеп танығандардың,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Қаратерек ауылдық округінің әкімін емесе олу әкілеттік берген тұлға ашады.</w:t>
      </w:r>
    </w:p>
    <w:bookmarkEnd w:id="14"/>
    <w:p>
      <w:pPr>
        <w:spacing w:after="0"/>
        <w:ind w:left="0"/>
        <w:jc w:val="both"/>
      </w:pPr>
      <w:r>
        <w:rPr>
          <w:rFonts w:ascii="Times New Roman"/>
          <w:b w:val="false"/>
          <w:i w:val="false"/>
          <w:color w:val="000000"/>
          <w:sz w:val="28"/>
        </w:rPr>
        <w:t>
      Қаратерек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Қаратерек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