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bbca" w14:textId="e4fb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27 желтоқсандағы "2024 – 2026 жылдарға арналған Ертіс ауданының ауылдар және ауылдық округтерінің бюджеті туралы" № 48-14-8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29 қарашадағы № 97-27-8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27 желтоқсандағы "2024 – 2026 жылдарға арналған Ертіс ауданының ауылдар және ауылдық округтерінің бюджеті туралы" № 48-14-8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Ағашорын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Аманкелді ауылдық округінің бюджеті тиісінше 4, 5 және 6-қосымшаларға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Байзақов ауылдық округінің бюджеті тиісінше 7, 8 және 9-қосымшаларға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8561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– 2026 жылдарға арналған Голубовка ауылының бюджеті тиісінше 10, 11 және 12-қосымшаларға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Ертіс ауылының бюджеті тиісінше 13, 14 және 15-қосымшаларға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354014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81013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273001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– 2026 жылдарға арналған Қарақұдық ауылдық округінің бюджеті тиісінше 16, 17 және 18-қосымшаларға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– 2026 жылдарға арналған Қоскөл ауылдық округінің бюджеті тиісінше 19, 20 және 21-қосымшаларға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10680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 – 2026 жылдарға арналған Қызылжар ауылдық округінің бюджеті тиісінше 22, 23 және 24-қосымшаларға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– 2026 жылдарға арналған Майқоңыр ауылының бюджеті тиісінше 25, 26 және 27-қосымшаларға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 – 2026 жылдарға арналған Панфилов ауылдық округінің бюджеті тиісінше 28, 29 және 30-қосымшаларға сәйкес, оның ішінде 2024 жылға мынадай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207866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– 2026 жылдарға арналған Северный ауылдық округінің бюджеті тиісінше 31, 32 және 33-қосымшаларға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11133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 – 2026 жылдарға арналған Сілеті ауылдық округінің бюджеті тиісінше 34, 35 және 36-қосымшаларға сәйкес, оның ішінде 2024 жылға мынадай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148058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146429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Голубовка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Майқоңыр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Панфилов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97-27-8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