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e782" w14:textId="0b5e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Чернигов ауылдық округі әкімінің 2024 жылғы 16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отырысы хаттамасынан үзінді көшірмесінің негізінде Чернигов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жалпы көлемі 12,2563 гектар Қостанай облысы Әулиекөл ауданы Чернигов ауылдық округінің Чернигов ауылының аумағында ораналасқан жер учакесіне жеткізу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"Чернигов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көшірмелері нормативтік құқықтық актілерінің Қазақстан Республикасының Эталондық бақылау банкіне ресми жариялау және енгізу үшін Әділет министрлігінің Қостанай облысы бойынша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Чернигов ауылдық округінің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Нұғыманов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