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c477" w14:textId="72dc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16 тамыздағы № 229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баскару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№32894 болып тіркелген) сәйкес, Жаңақорған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қосымшасына сәйкес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16 тамыздағы</w:t>
            </w:r>
            <w:r>
              <w:br/>
            </w:r>
            <w:r>
              <w:rPr>
                <w:rFonts w:ascii="Times New Roman"/>
                <w:b w:val="false"/>
                <w:i w:val="false"/>
                <w:color w:val="000000"/>
                <w:sz w:val="20"/>
              </w:rPr>
              <w:t>№229 шешіміне қосымша</w:t>
            </w:r>
          </w:p>
        </w:tc>
      </w:tr>
    </w:tbl>
    <w:bookmarkStart w:name="z11" w:id="1"/>
    <w:p>
      <w:pPr>
        <w:spacing w:after="0"/>
        <w:ind w:left="0"/>
        <w:jc w:val="left"/>
      </w:pPr>
      <w:r>
        <w:rPr>
          <w:rFonts w:ascii="Times New Roman"/>
          <w:b/>
          <w:i w:val="false"/>
          <w:color w:val="000000"/>
        </w:rPr>
        <w:t xml:space="preserve"> Жергілікті қоғамдастықтың бөлек жиындарын өткізудің қағидалары</w:t>
      </w:r>
    </w:p>
    <w:bookmarkEnd w:id="1"/>
    <w:bookmarkStart w:name="z12" w:id="2"/>
    <w:p>
      <w:pPr>
        <w:spacing w:after="0"/>
        <w:ind w:left="0"/>
        <w:jc w:val="left"/>
      </w:pPr>
      <w:r>
        <w:rPr>
          <w:rFonts w:ascii="Times New Roman"/>
          <w:b/>
          <w:i w:val="false"/>
          <w:color w:val="000000"/>
        </w:rPr>
        <w:t xml:space="preserve"> 1 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кент, ауылдық округ тұрғындарының жергілікті қоғамдастықтың бөлек жиындарын өткізудің тәртібін белгілейді.</w:t>
      </w:r>
    </w:p>
    <w:bookmarkStart w:name="z14"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5" w:id="4"/>
    <w:p>
      <w:pPr>
        <w:spacing w:after="0"/>
        <w:ind w:left="0"/>
        <w:jc w:val="both"/>
      </w:pPr>
      <w:r>
        <w:rPr>
          <w:rFonts w:ascii="Times New Roman"/>
          <w:b w:val="false"/>
          <w:i w:val="false"/>
          <w:color w:val="000000"/>
          <w:sz w:val="28"/>
        </w:rPr>
        <w:t>
      1) бөлек жергілікті қоғамдастық жиыны –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
    <w:bookmarkStart w:name="z16" w:id="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5"/>
    <w:bookmarkStart w:name="z17" w:id="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6"/>
    <w:bookmarkStart w:name="z18" w:id="7"/>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шағын аудандар, көшелер, көппәтерлі тұрғын үйлер) бөлінеді.</w:t>
      </w:r>
    </w:p>
    <w:bookmarkEnd w:id="7"/>
    <w:bookmarkStart w:name="z19"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20" w:id="9"/>
    <w:p>
      <w:pPr>
        <w:spacing w:after="0"/>
        <w:ind w:left="0"/>
        <w:jc w:val="both"/>
      </w:pPr>
      <w:r>
        <w:rPr>
          <w:rFonts w:ascii="Times New Roman"/>
          <w:b w:val="false"/>
          <w:i w:val="false"/>
          <w:color w:val="000000"/>
          <w:sz w:val="28"/>
        </w:rPr>
        <w:t>
      5.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 Шағын аудан немесе көше шегінде көппәтерлі үйлер болған кезде көппәтерлі үйдің бөлек жиындары жүргізілмейді.</w:t>
      </w:r>
    </w:p>
    <w:bookmarkEnd w:id="9"/>
    <w:bookmarkStart w:name="z21" w:id="1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
    <w:bookmarkStart w:name="z22" w:id="1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1"/>
    <w:bookmarkStart w:name="z23"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2"/>
    <w:bookmarkStart w:name="z24"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3"/>
    <w:bookmarkStart w:name="z25" w:id="14"/>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bookmarkEnd w:id="14"/>
    <w:bookmarkStart w:name="z26" w:id="15"/>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bookmarkEnd w:id="15"/>
    <w:bookmarkStart w:name="z27" w:id="16"/>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6"/>
    <w:bookmarkStart w:name="z28" w:id="17"/>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Жанакорған ауданы мәслихаты бекіткен сандық құрамға сәйкес жергілікті қоғамдастықтың бөлек жиынының қатысушылары ұсынады.</w:t>
      </w:r>
    </w:p>
    <w:bookmarkEnd w:id="17"/>
    <w:bookmarkStart w:name="z29" w:id="18"/>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8"/>
    <w:bookmarkStart w:name="z30" w:id="1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9"/>
    <w:bookmarkStart w:name="z31" w:id="2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және ауылдық округ әкімінің аппаратына береді.</w:t>
      </w:r>
    </w:p>
    <w:bookmarkEnd w:id="20"/>
    <w:bookmarkStart w:name="z32" w:id="2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1"/>
    <w:bookmarkStart w:name="z33" w:id="2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2"/>
    <w:bookmarkStart w:name="z34" w:id="2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3"/>
    <w:bookmarkStart w:name="z35" w:id="2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4"/>
    <w:bookmarkStart w:name="z36" w:id="2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5"/>
    <w:bookmarkStart w:name="z37" w:id="2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