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da4" w14:textId="d063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270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 үшін қатты тұрмыстық қалдықтарды жинауға, тасымалдауға, сұрыптауға және көмуге арналған тарифті есептеу әдістемесін бекіту туралы" Қазақстан Республикасы Экология, геология және табиғи ресурстар министрінің 2021 жылғы 14 қыркүйектегі № 377 (Нормативтік құқықтық актілерді мемлекеттік тіркеу тізілімінде № 24382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Арал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шешiм оның алғашқы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халық үшін тұрмыстық қатты қалдықтарды жинауға, тасымалдауға, сұрыптауға және көмуге арналған тарифтері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 қосылған)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тасымалдау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Сұрыптау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тариф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2473,12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толық жазылуы: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