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cb8" w14:textId="665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5 желтоқсандағы № 123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291 119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190 521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306 919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26 227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-3 870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40 348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35 920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37 049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32 536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62 737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55 919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– 2026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44 460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76 354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14 891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83 069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-6 715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6 715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22 784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20 670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22 967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33 251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42 872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-9 621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9 621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9 621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132 079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136 232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1 310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57 286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 мың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32 069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2 600 мың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34 215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45 824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6 201 мың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81 317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74 685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82 897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1 580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32 510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29 569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34 713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2 203 мың теңге.".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– 2026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23 206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26 028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теңге.".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– 2026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43 373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4 248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39 125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44 973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 мың теңге.".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– 2026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26 334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18 886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26 754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 теңге.".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35 920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Ақмешіт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8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Кертінді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Заречное ауылының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0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0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