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3e01" w14:textId="0733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2023 жылғы 22 желтоқсандағы № 62 "2024-2026 жылдарға арналған ауылдардың, кенттердің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2024 жылғы 9 шілдедегі № 103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2023 жылғы 22 желтоқсандағы № 62 "2024-2026 жылдарға арналған ауылдардың, кенттердің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191630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235 582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65 208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–1 790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168 584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251 382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-15 800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15 800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15 800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 – 2026жылдарға арналған Шұбаркөл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32 880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6 653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27 227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36 750 мың теңге;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-3 870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3 870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3 870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– 2026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41 862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34 859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43 062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 – 2026жылдарға арналған Изенді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130 043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3 629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126 414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135 643 мың теңге;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-5 600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5 600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5 600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 – 2026жылдарға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71 603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–7 140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249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64 214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78 319 мың теңге;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-6 716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6 716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6 716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 – 2026жылдарға арналған Құлөнтпес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22 168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2 114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20 054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22 351 мың теңге;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 – 2026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–33 251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28 637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42 872 мың теңге;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-9 621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9 621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9 621 мың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 – 2026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34 623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3 188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31 435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35 835 мың теңге;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-1 212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1 212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1 212 мың теңге.".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 – 2026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80 317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6 632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73 685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81 897 мың теңге;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- 1 580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1 580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1 580 теңге.".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2024 – 2026 жылдарға арналған Соналы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25 778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2 572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23 206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27 578 мың теңге;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- 1 800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1 800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1 800 теңге.".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 – 2026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46 908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9 884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37 024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51 208 мың теңге;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- 4 300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4 300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4 300 теңге.".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Нұра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2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 кентінің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Шұбаркөл кентінің бюджеті 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2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Шахтерское ауылының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2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Изенді ауылының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3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Ахмет ауылының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3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Құланөтпес ауылының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3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Көбетей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24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Кәрім Мыңбаев ауылының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24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 ауылының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24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Соналы ауылының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25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Баршын ауылының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