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5793" w14:textId="88f5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22 қазандағы № VIII-29/218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606668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 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–556351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692195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85527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85527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109117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89117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126402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17285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17285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81188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74058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88532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-7344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70076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13757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55954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71410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50741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48881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53191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–52316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48351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53614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48451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47006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49982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1531 мың теңге";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2024-2026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45644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–43664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47879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38861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17716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21145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54642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-15781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15781 мыңтеңге,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15781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2024-2026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37158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33993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39489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31055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30833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31634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48754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46193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56388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7634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2024-2026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36424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35151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37468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-1044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1044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–46043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42393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51036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-4993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4993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4993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2024-2026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47404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3627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43616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48894мың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54 қосымшаларға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45648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42498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50674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-5026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5026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5026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–46036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2506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43530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48638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2602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2602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48723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45991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52678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-3955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3955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3955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40467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2660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37807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43388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-2921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2921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2921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2024-2026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42142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4098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526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37518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52554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-10412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10412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10412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36466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35403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41744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-5278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5278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5278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59185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6319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52866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63201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-4016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4016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4016 мың теңге.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3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Қарағайлы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5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6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7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Қасым Аманжолов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8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Нұркен Әбдіров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49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Балқантау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1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1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VIII- 29/218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28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Қайнарбұлақ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3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Қаршығалы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Мартбек Мамыраев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Мәди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7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Нығмет Нұрмақов атындағы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8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Тәттімбет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9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Тегісшілдік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VIII- 29/218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60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Темірші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60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61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Шарықты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VIII-29/218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62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