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f800" w14:textId="7c5f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10 "2024-2026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27 қыркүйектегі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2023 жылғы 28 желтоқсаңдағы №10 "2024-2026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508 604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78 105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429 540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511 994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3 390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104 763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44 015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60 748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106 765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2 002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736 058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77 087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545 691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113 280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744 062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161 754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38 674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122 875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180 205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18 451 теңге;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111 499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36 537 теңге;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6 584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68 378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114 185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2 686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62 413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7 457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54 956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62 415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теңге;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50 194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75 021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59 942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76 140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1 119 теңге;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53 172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59 868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16 525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43 343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62 676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2 808 теңге;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101 994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17 640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492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121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83 741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102 778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784 теңге;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195 399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86 229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1 980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107 010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202 722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7 323 теңге;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86 798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7 986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78 812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86 802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39 790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4 263 теңге; 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35 527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45 037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5 247 теңге;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37 331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2 049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35 282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38 015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684 теңге; 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46 207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4 614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41 593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47 525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1 318 теңге; 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52 888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5 798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418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46 672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54 238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1 350 теңге; 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42 893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31 535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3 392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28 143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31 536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теңге;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55 033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2 570 теңге; 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52 463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55 694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661 теңге;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59 554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3 874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55 680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61 312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1 758 теңге; 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71 270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7 318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63 952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71 285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 теңге;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2024-2026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47 004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6 315 теңге; 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40 689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47 008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35 845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48 555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5 545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42 610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50 837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2 282 теңге; 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60 890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16 344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44 546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62 565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1 675 теңге; 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117 478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6 590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1 300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109 588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117 577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99 теңге; 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35 545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1 251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34 294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36 041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496 теңге; 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46 088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7 964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38 124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46 200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 теңге; 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2024-2026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47 925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7 705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40 220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48 911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986 теңге; 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79 901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13 674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66 227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84 228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4 327 теңге; 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57 317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9 224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48 093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59 621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2 304 теңге; 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62 467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14 794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47 066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64 447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1 980 теңге; 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енгізілсің.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