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04bc" w14:textId="c2a0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жылғы Гулшат және Саяқ кенттері бюджеттің орындалуы жөнінде есебін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2024 жылғы 17 мамырдағы № 13/117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Гулшат және Саяқ кенттері әкімшілігімен ұсынылған 2022 жылдың Гулшат және Саяқ кенттері бюджетінің орындалуы туралы есебін қарастырып, қалалық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Гулшаткенттері бюджетінің орындалуы туралы есебі қосымшаға сәйкес келесі көлемде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105694,0 мың тенге,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596,0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тусетін түсімдер – 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105098,0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- 105610,5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83,5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–минус 83,5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–минус 83,5 мың теңге.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Саяқ кенттері бюджетінің орындалуы туралы есебі қосымшаға сәйкес келесі көлемде бекітілсін: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147 094,6 мың тенге, оның ішінде: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53 769,4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3 539,2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тусетін түсімдер – 121,0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89 665,0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163 041,8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–минус 15 947,2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минус 15 947,2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15 947,2мың теңге.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