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ea9c" w14:textId="4d5ea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учаскесіне 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әкімдігінің 2024 жылғы 29 ақпандағы № 13/14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31-бабына сәйкес, Теміртау қаласының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"Теміртау қаласының тұрғын үй-коммуналдық шаруашылығы, жолаушылар көлігі және автомобиль жолдары бөлімі" мемлекеттік мекемесіне Қарағанды-Теміртау суаққысын пайдалану және одан әрі реконструкциялау үшін, меншік иелері мен жер пайдаланушылардан жер учаскелерін алып қоймай,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жалпы ауданы 3,1850 га жер учаскесіне 49 жыл мерзімге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бақылауды өз міндетіме аламын.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Теміртау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29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13/14 қаулысына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"Теміртау қаласының тұрғын үй-коммуналдық шаруашылығы, жолаушылар көлігі және автомобиль жолдары бөлімі" мемлекеттік мекемесіне жария сервитут белгіленетін жер учаскелерінің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учаскесі меншік иесінің (жер пайдаланушының)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жария сервитут белгіленген аудан,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"Qarmet" 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09-145-107-1826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АО ""Қазақстан темір жолы" ұлттық компаниясы" АҚ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09-145-107-1795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"Қазақстан Республикасы Көлік министрлігінің Автомобиль жолдары комитеті" РММ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09-145-107-1800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09-145-030-643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09-145-030-644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