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0a92" w14:textId="e370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2024 – 2025 оқу жылына арналған мемлекеттік білім беру тапсырысын орналастыру және бөлу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31 шілдедегі № 336-НҚ бұйрығы.</w:t>
      </w:r>
    </w:p>
    <w:p>
      <w:pPr>
        <w:spacing w:after="0"/>
        <w:ind w:left="0"/>
        <w:jc w:val="both"/>
      </w:pPr>
      <w:bookmarkStart w:name="z4" w:id="0"/>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23-7) тармақшасына</w:t>
      </w:r>
      <w:r>
        <w:rPr>
          <w:rFonts w:ascii="Times New Roman"/>
          <w:b w:val="false"/>
          <w:i w:val="false"/>
          <w:color w:val="000000"/>
          <w:sz w:val="28"/>
        </w:rPr>
        <w:t xml:space="preserve">,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xml:space="preserve"> және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Оқу-ағарту министрінің міндетін атқарушының 2024 жылғы 5 шілдедегі № 171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Осы бұйрыққа: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бағдарламаларының топтары бойынша 2024-2025 оқу жылына жоғары білімі бар кадрларды даярлауға мемлекеттік білім беру тапсырысын орналастыру үшін жоғары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бағдарламаларының топтары бойынша 2024-2025 оқу жылына жоғары оқу орнынан кейінгі білімі бар кадрларды даярлауға мемлекеттік білім беру тапсырысын орналастыру үшін жоғары оқу орнынан кейінгі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2024-2025 оқу жылына техникалық және кәсіптік, орта білімнен кейінгі білімі бар кадрларды даярлауға арналған мемлекеттік білім беру тапсырысы мамандықтар бойынша орналастыру үшін техникалық және кәсіптік білім беру ұйымдарының тізбесі бекітілсін.</w:t>
      </w:r>
    </w:p>
    <w:bookmarkEnd w:id="4"/>
    <w:bookmarkStart w:name="z9" w:id="5"/>
    <w:p>
      <w:pPr>
        <w:spacing w:after="0"/>
        <w:ind w:left="0"/>
        <w:jc w:val="both"/>
      </w:pPr>
      <w:r>
        <w:rPr>
          <w:rFonts w:ascii="Times New Roman"/>
          <w:b w:val="false"/>
          <w:i w:val="false"/>
          <w:color w:val="000000"/>
          <w:sz w:val="28"/>
        </w:rPr>
        <w:t>
      2. Осы бұйрыққа:</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мәдениет салаласындағы білім беру ұйымдарында 2024-2025 оқу жылына арналған жоғары білімі бар кадрларды даярлаудың мемлекеттік білім беру тапсырысы;</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мәдениет саласындағы білім беру ұйымдарында 2024-2025 оқу жылына арналған жоғары оқу орнынан кейінгі білімі бар кадрларды даярлаудың мемлекеттік білім беру тапсырысы;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мәдениет саласындағы білім беру ұйымдарында 2024-2025 оқу жылына арналған техникалық және кәсіптік, орта білімнен кейінгі білімі бар кадрларды даярлаудың мемлекеттік білім беру тапсырысы бөлінсін.</w:t>
      </w:r>
    </w:p>
    <w:bookmarkEnd w:id="8"/>
    <w:bookmarkStart w:name="z13" w:id="9"/>
    <w:p>
      <w:pPr>
        <w:spacing w:after="0"/>
        <w:ind w:left="0"/>
        <w:jc w:val="both"/>
      </w:pPr>
      <w:r>
        <w:rPr>
          <w:rFonts w:ascii="Times New Roman"/>
          <w:b w:val="false"/>
          <w:i w:val="false"/>
          <w:color w:val="000000"/>
          <w:sz w:val="28"/>
        </w:rPr>
        <w:t>
      3. Қазақстан Республикасы Мәдениет және ақпарат министрлігінің Білім және ғылым департаменті заңнамада белгіленген тәртіппен:</w:t>
      </w:r>
    </w:p>
    <w:bookmarkEnd w:id="9"/>
    <w:bookmarkStart w:name="z14" w:id="10"/>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17" w:id="13"/>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336/НҚ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Білім беру бағдарламаларының топтары бойынша 2024-2025 оқу жылына жоғары білімі бар кадрларды даярлауға мемлекеттік білім беру тапсырысын орналастыру үшін жоғары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w:t>
      </w:r>
    </w:p>
    <w:bookmarkEnd w:id="14"/>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24.10.2024 </w:t>
      </w:r>
      <w:r>
        <w:rPr>
          <w:rFonts w:ascii="Times New Roman"/>
          <w:b w:val="false"/>
          <w:i w:val="false"/>
          <w:color w:val="ff0000"/>
          <w:sz w:val="28"/>
        </w:rPr>
        <w:t>№ 497-НҚ</w:t>
      </w:r>
      <w:r>
        <w:rPr>
          <w:rFonts w:ascii="Times New Roman"/>
          <w:b w:val="false"/>
          <w:i w:val="false"/>
          <w:color w:val="ff0000"/>
          <w:sz w:val="28"/>
        </w:rPr>
        <w:t xml:space="preserve"> (алғашқы ресми жарияланған күнінен кейін қолданысқа енгізіледі және 20.08.2024 бастап туындаған құқықтық қатынастарға қолданылады) бұйрығымен.</w:t>
      </w:r>
    </w:p>
    <w:p>
      <w:pPr>
        <w:spacing w:after="0"/>
        <w:ind w:left="0"/>
        <w:jc w:val="left"/>
      </w:pPr>
      <w:r>
        <w:rPr>
          <w:rFonts w:ascii="Times New Roman"/>
          <w:b/>
          <w:i w:val="false"/>
          <w:color w:val="000000"/>
        </w:rPr>
        <w:t xml:space="preserve"> Мәдениет салаласындағы білім беру ұйымдарында 2024-2025 оқу жылына арналған жоғары білімі бар кадрларды даярлаудың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"Темірбек Жүргенов атындағы Қазақ ұлттық өнер академиясы" республикалық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 ұлттық өнер университеті" республикалық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 (В006 "Музыка мұғалімдерін даярлау" білім беру бағдарламалары тобы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"Құрманғазы атындағы Қазақ ұлттық консерваториясы" республикалық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 ұлттық хореография академиясы" шаруашылық жүргізу құқығындағы республикалық мемлекеттік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336/НҚ бұйрығына</w:t>
            </w:r>
            <w:r>
              <w:br/>
            </w:r>
            <w:r>
              <w:rPr>
                <w:rFonts w:ascii="Times New Roman"/>
                <w:b w:val="false"/>
                <w:i w:val="false"/>
                <w:color w:val="000000"/>
                <w:sz w:val="20"/>
              </w:rPr>
              <w:t>2-қосымша</w:t>
            </w:r>
          </w:p>
        </w:tc>
      </w:tr>
    </w:tbl>
    <w:bookmarkStart w:name="z23" w:id="15"/>
    <w:p>
      <w:pPr>
        <w:spacing w:after="0"/>
        <w:ind w:left="0"/>
        <w:jc w:val="left"/>
      </w:pPr>
      <w:r>
        <w:rPr>
          <w:rFonts w:ascii="Times New Roman"/>
          <w:b/>
          <w:i w:val="false"/>
          <w:color w:val="000000"/>
        </w:rPr>
        <w:t xml:space="preserve"> Білім беру бағдарламаларының топтары бойынша 2024-2025 оқу жылына жоғары оқу орнынан кейінгі білімі бар кадрларды даярлауға мемлекеттік білім беру тапсырысын орналастыру үшін жоғары оқу орнынан кейінгі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w:t>
      </w:r>
    </w:p>
    <w:bookmarkEnd w:id="15"/>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24.10.2024 </w:t>
      </w:r>
      <w:r>
        <w:rPr>
          <w:rFonts w:ascii="Times New Roman"/>
          <w:b w:val="false"/>
          <w:i w:val="false"/>
          <w:color w:val="ff0000"/>
          <w:sz w:val="28"/>
        </w:rPr>
        <w:t>№ 497-НҚ</w:t>
      </w:r>
      <w:r>
        <w:rPr>
          <w:rFonts w:ascii="Times New Roman"/>
          <w:b w:val="false"/>
          <w:i w:val="false"/>
          <w:color w:val="ff0000"/>
          <w:sz w:val="28"/>
        </w:rPr>
        <w:t xml:space="preserve"> (алғашқы ресми жарияланған күнінен кейін қолданысқа енгізіледі және 20.08.2024 бастап туындаған құқықтық қатынастарға қолданылады) бұйрығымен.</w:t>
      </w:r>
    </w:p>
    <w:p>
      <w:pPr>
        <w:spacing w:after="0"/>
        <w:ind w:left="0"/>
        <w:jc w:val="left"/>
      </w:pPr>
      <w:r>
        <w:rPr>
          <w:rFonts w:ascii="Times New Roman"/>
          <w:b/>
          <w:i w:val="false"/>
          <w:color w:val="000000"/>
        </w:rPr>
        <w:t xml:space="preserve"> Мәдениет саласындағы білім беру ұйымдарында 2024-2025 оқу жылына арналған жоғары оқу орнынан кейінгі білімі бар кадрларды даярлаудың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336/НҚ бұйрығына</w:t>
            </w:r>
            <w:r>
              <w:br/>
            </w:r>
            <w:r>
              <w:rPr>
                <w:rFonts w:ascii="Times New Roman"/>
                <w:b w:val="false"/>
                <w:i w:val="false"/>
                <w:color w:val="000000"/>
                <w:sz w:val="20"/>
              </w:rPr>
              <w:t>3-қосымша</w:t>
            </w:r>
          </w:p>
        </w:tc>
      </w:tr>
    </w:tbl>
    <w:bookmarkStart w:name="z26" w:id="16"/>
    <w:p>
      <w:pPr>
        <w:spacing w:after="0"/>
        <w:ind w:left="0"/>
        <w:jc w:val="left"/>
      </w:pPr>
      <w:r>
        <w:rPr>
          <w:rFonts w:ascii="Times New Roman"/>
          <w:b/>
          <w:i w:val="false"/>
          <w:color w:val="000000"/>
        </w:rPr>
        <w:t xml:space="preserve"> 2024-2025 оқу жылына техникалық және кәсіптік, орта білімнен кейінгі білімі бар кадрларды даярлауға арналған мемлекеттік білім беру тапсырысы мамандықтар бойынша орналастыру үшін техникалық және кәсіптік білім беру ұйымдарының тізбесі Мәдениет саласындағы білім беру ұйымдарында 2024-2025 оқу жылына арналған техникалық және кәсіптік, орта білімнен кейінгі білімі бар кадрларды даярлаудың мемлекеттік білім беру тапсырысы</w:t>
      </w:r>
    </w:p>
    <w:bookmarkEnd w:id="16"/>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12.08.2024 </w:t>
      </w:r>
      <w:r>
        <w:rPr>
          <w:rFonts w:ascii="Times New Roman"/>
          <w:b w:val="false"/>
          <w:i w:val="false"/>
          <w:color w:val="ff0000"/>
          <w:sz w:val="28"/>
        </w:rPr>
        <w:t>№ 357-НҚ</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 ұлттық өнер университеті"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xml:space="preserve">
"Кескіндеме, мүсін және графика (түрлері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"Оркестр әртісі (дирижер),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"Суретші-декораторі"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10150100 </w:t>
            </w:r>
          </w:p>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"Темірбек Жүргенов атындағы Қазақ ұлттық өнер академиясы"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"Музыка театрының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02120100 "Интерьер дизайны"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 ұлттық хореография академиясы" шаруашылық жүргізу құқығындағы республикалық мемлекеттік кәсіпорнының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"Жүсіпбек Елебеков атындағы республикалық эстрадалық-цирк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w:t>
            </w:r>
          </w:p>
          <w:p>
            <w:pPr>
              <w:spacing w:after="20"/>
              <w:ind w:left="20"/>
              <w:jc w:val="both"/>
            </w:pPr>
            <w:r>
              <w:rPr>
                <w:rFonts w:ascii="Times New Roman"/>
                <w:b w:val="false"/>
                <w:i w:val="false"/>
                <w:color w:val="000000"/>
                <w:sz w:val="20"/>
              </w:rPr>
              <w:t>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p>
            <w:pPr>
              <w:spacing w:after="20"/>
              <w:ind w:left="20"/>
              <w:jc w:val="both"/>
            </w:pPr>
            <w:r>
              <w:rPr>
                <w:rFonts w:ascii="Times New Roman"/>
                <w:b w:val="false"/>
                <w:i w:val="false"/>
                <w:color w:val="000000"/>
                <w:sz w:val="20"/>
              </w:rPr>
              <w:t>
"Хор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p>
            <w:pPr>
              <w:spacing w:after="20"/>
              <w:ind w:left="20"/>
              <w:jc w:val="both"/>
            </w:pPr>
            <w:r>
              <w:rPr>
                <w:rFonts w:ascii="Times New Roman"/>
                <w:b w:val="false"/>
                <w:i w:val="false"/>
                <w:color w:val="000000"/>
                <w:sz w:val="20"/>
              </w:rPr>
              <w:t>
"Қуыршақ театрының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"Петр Чайковский атындағы Алматы музыкалық колледжі"</w:t>
            </w:r>
          </w:p>
          <w:p>
            <w:pPr>
              <w:spacing w:after="20"/>
              <w:ind w:left="20"/>
              <w:jc w:val="both"/>
            </w:pPr>
            <w:r>
              <w:rPr>
                <w:rFonts w:ascii="Times New Roman"/>
                <w:b w:val="false"/>
                <w:i w:val="false"/>
                <w:color w:val="000000"/>
                <w:sz w:val="20"/>
              </w:rPr>
              <w:t>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"Орал Таңсықбаев атындағы сәндік-қолданбалы өнер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xml:space="preserve">
"Театр декорациялық өнері </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4S02150805 </w:t>
            </w:r>
          </w:p>
          <w:p>
            <w:pPr>
              <w:spacing w:after="20"/>
              <w:ind w:left="20"/>
              <w:jc w:val="both"/>
            </w:pPr>
            <w:r>
              <w:rPr>
                <w:rFonts w:ascii="Times New Roman"/>
                <w:b w:val="false"/>
                <w:i w:val="false"/>
                <w:color w:val="000000"/>
                <w:sz w:val="20"/>
              </w:rPr>
              <w:t>
"Суретші-декоратор"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xml:space="preserve">
"Суретші </w:t>
            </w:r>
          </w:p>
          <w:p>
            <w:pPr>
              <w:spacing w:after="20"/>
              <w:ind w:left="20"/>
              <w:jc w:val="both"/>
            </w:pPr>
            <w:r>
              <w:rPr>
                <w:rFonts w:ascii="Times New Roman"/>
                <w:b w:val="false"/>
                <w:i w:val="false"/>
                <w:color w:val="000000"/>
                <w:sz w:val="20"/>
              </w:rPr>
              <w:t>
(станокты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xml:space="preserve">
"Суретші-мүсінші"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"Александр Селезнев атындағы Алматы хореографиялық училищесі"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p>
            <w:pPr>
              <w:spacing w:after="20"/>
              <w:ind w:left="20"/>
              <w:jc w:val="both"/>
            </w:pPr>
            <w:r>
              <w:rPr>
                <w:rFonts w:ascii="Times New Roman"/>
                <w:b w:val="false"/>
                <w:i w:val="false"/>
                <w:color w:val="000000"/>
                <w:sz w:val="20"/>
              </w:rPr>
              <w:t>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p>
            <w:pPr>
              <w:spacing w:after="20"/>
              <w:ind w:left="20"/>
              <w:jc w:val="both"/>
            </w:pPr>
            <w:r>
              <w:rPr>
                <w:rFonts w:ascii="Times New Roman"/>
                <w:b w:val="false"/>
                <w:i w:val="false"/>
                <w:color w:val="000000"/>
                <w:sz w:val="20"/>
              </w:rPr>
              <w:t>
"Би ансамблі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