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fcd55" w14:textId="c9fcd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радиожиілік спектрді перспективалы пайдаланудың 2024-2029 жылдарға арналған жоспарын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4 желтоқсандағы № 755/НҚ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71)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Республикасында радиожиілік спектрді перспективалы пайдаланудың 2024-2029 жылдарға арналған жоспары бекітілсін.</w:t>
      </w:r>
    </w:p>
    <w:bookmarkEnd w:id="1"/>
    <w:bookmarkStart w:name="z6" w:id="2"/>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өнеркәсібі министрлігінің Телекоммуникациялар комитеті:</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Цифрлық даму, инновациялар және аэроғарыш өнеркәсібі министрлігінің ресми интернет-ресурсында орналастыруды;</w:t>
      </w:r>
    </w:p>
    <w:bookmarkEnd w:id="3"/>
    <w:bookmarkStart w:name="z8" w:id="4"/>
    <w:p>
      <w:pPr>
        <w:spacing w:after="0"/>
        <w:ind w:left="0"/>
        <w:jc w:val="both"/>
      </w:pPr>
      <w:r>
        <w:rPr>
          <w:rFonts w:ascii="Times New Roman"/>
          <w:b w:val="false"/>
          <w:i w:val="false"/>
          <w:color w:val="000000"/>
          <w:sz w:val="28"/>
        </w:rPr>
        <w:t>
      2) осы бұйрыққа қол қойылғаннан кейін бес жұмыс күн ішінде оның электрондық түрде қазақ және орыс тілдеріндегі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bl>
    <w:bookmarkStart w:name="z13" w:id="7"/>
    <w:p>
      <w:pPr>
        <w:spacing w:after="0"/>
        <w:ind w:left="0"/>
        <w:jc w:val="left"/>
      </w:pPr>
      <w:r>
        <w:rPr>
          <w:rFonts w:ascii="Times New Roman"/>
          <w:b/>
          <w:i w:val="false"/>
          <w:color w:val="000000"/>
        </w:rPr>
        <w:t xml:space="preserve"> Қазақстан Республикасында радиожиілік спектрді перспективалы пайдаланудың  2024-2029 жылдарға арналған жоспары</w:t>
      </w:r>
    </w:p>
    <w:bookmarkEnd w:id="7"/>
    <w:bookmarkStart w:name="z14" w:id="8"/>
    <w:p>
      <w:pPr>
        <w:spacing w:after="0"/>
        <w:ind w:left="0"/>
        <w:jc w:val="both"/>
      </w:pPr>
      <w:r>
        <w:rPr>
          <w:rFonts w:ascii="Times New Roman"/>
          <w:b w:val="false"/>
          <w:i w:val="false"/>
          <w:color w:val="000000"/>
          <w:sz w:val="28"/>
        </w:rPr>
        <w:t>
      Радиожиілік спектрді перспективалы пайдалану жоспары (бұдан әрі – Перспективалы жоспар) әртүрлі мақсаттағы қолданыста тұрған радиоэлектрондық құралдардың (бұдан әрі – РЭҚ), перспективада қолдану жоспарланып отырған РЭҚ-тің, сондай-ақ жақын арада пайдаланылуы тоқтататылатын РЭҚ-тің радиожиілік жолақтарын пайдаланудағы басты бағыттарды айқындайды.</w:t>
      </w:r>
    </w:p>
    <w:bookmarkEnd w:id="8"/>
    <w:bookmarkStart w:name="z15" w:id="9"/>
    <w:p>
      <w:pPr>
        <w:spacing w:after="0"/>
        <w:ind w:left="0"/>
        <w:jc w:val="both"/>
      </w:pPr>
      <w:r>
        <w:rPr>
          <w:rFonts w:ascii="Times New Roman"/>
          <w:b w:val="false"/>
          <w:i w:val="false"/>
          <w:color w:val="000000"/>
          <w:sz w:val="28"/>
        </w:rPr>
        <w:t>
      Осы Перспективалы жоспарда 3 кГц-тен бастап 400 ГГц-ке дейінгі, яғни Қазақстан Республикасындағы радиоқызметтер арасындағы жиілік жолақтарын бөлу кестесіне сәйкес барлық мақсаттағы радиоэлектрондық құралдарға арналған 3 кГц-тен бастап 400 ГГц-ке дейінгі диапазондағы жиіліктер есепке алынған.</w:t>
      </w:r>
    </w:p>
    <w:bookmarkEnd w:id="9"/>
    <w:bookmarkStart w:name="z16" w:id="10"/>
    <w:p>
      <w:pPr>
        <w:spacing w:after="0"/>
        <w:ind w:left="0"/>
        <w:jc w:val="left"/>
      </w:pPr>
      <w:r>
        <w:rPr>
          <w:rFonts w:ascii="Times New Roman"/>
          <w:b/>
          <w:i w:val="false"/>
          <w:color w:val="000000"/>
        </w:rPr>
        <w:t xml:space="preserve"> Халықаралық жылжымалы электробайланыс (IMT)</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диапазоны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694-790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құрылымдық бөлімшелері және мемлекеттік органдар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5G/IMT-2020 бесінші буын жылжымалы ұялы байланыс жиілік жолақтары.</w:t>
            </w:r>
          </w:p>
          <w:bookmarkEnd w:id="11"/>
          <w:p>
            <w:pPr>
              <w:spacing w:after="20"/>
              <w:ind w:left="20"/>
              <w:jc w:val="both"/>
            </w:pPr>
            <w:r>
              <w:rPr>
                <w:rFonts w:ascii="Times New Roman"/>
                <w:b w:val="false"/>
                <w:i w:val="false"/>
                <w:color w:val="000000"/>
                <w:sz w:val="20"/>
              </w:rPr>
              <w:t>
Қазақстан Республикасының аумағында РЖС-ге рұқсат беруді тоқтата тұру. Босату.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790-960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құрылымдық бөлімшелері және мемлекеттік органдар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GSM, UMTS және LTE жылжымалы ұялы байланыс стандарттарының жұмысын жалғастыру, сонымен қатар IMT жүйесінің жаңа сипаттамаларын енгізу.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1710-1980 МГц 2110-2170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құрылымдық бөлімшелері және мемлекеттік органдар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GSM, UMTS және LTE жылжымалы ұялы байланыс стандарттарының жұмысын жалғастыру, сонымен қатар IMT жүйесінің жаңа сипаттамаларын енгізу.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2496-2690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құрылымдық бөлімшелері және мемлекеттік органдар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IMT жүйелерін перспективалы енгізу. Қазақстан Республикасының аумағында РЖС-ге рұқсат беруді тоқтата тұру.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3400-3600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құрылымдық бөлімшелері және мемлекеттік органдар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ЖБЖС қорғауын қамтамасыз еткен кездегі 5G/IMT-2020 бесінші буын жылжымалы ұялы байланыс жиілік жолақтары.</w:t>
            </w:r>
          </w:p>
          <w:bookmarkEnd w:id="12"/>
          <w:p>
            <w:pPr>
              <w:spacing w:after="20"/>
              <w:ind w:left="20"/>
              <w:jc w:val="both"/>
            </w:pPr>
            <w:r>
              <w:rPr>
                <w:rFonts w:ascii="Times New Roman"/>
                <w:b w:val="false"/>
                <w:i w:val="false"/>
                <w:color w:val="000000"/>
                <w:sz w:val="20"/>
              </w:rPr>
              <w:t>
Қазақстан Республикасының аумағында РЖС-ге рұқсат беруді тоқтата тұру.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3600-3800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Керекті жобаны іске асыратын кезде келісу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5G/IMT-2020 бесінші буын жылжымалы ұялы байланыс жиілік жолақтары. Қазақстан Республикасының аумағында РЖС-ге рұқсат беруді тоқтата тұру. Босату.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3800-4100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құрылымдық бөлімшелері және мемлекеттік органдар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Радиовысотамер жұмысының қорғауын қамтамасыз ету кезіндегі 5G/IMT-2020 бесінші буын жылжымалы ұялы байланыс жиілік жолақтары. Шекаралық координация сұрақтарын есепке алу.</w:t>
            </w:r>
          </w:p>
          <w:bookmarkEnd w:id="13"/>
          <w:p>
            <w:pPr>
              <w:spacing w:after="20"/>
              <w:ind w:left="20"/>
              <w:jc w:val="both"/>
            </w:pPr>
            <w:r>
              <w:rPr>
                <w:rFonts w:ascii="Times New Roman"/>
                <w:b w:val="false"/>
                <w:i w:val="false"/>
                <w:color w:val="000000"/>
                <w:sz w:val="20"/>
              </w:rPr>
              <w:t>
Қазақстан Республикасының аумағында РЖС-ге рұқсат беруді тоқтата тұру.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4800-4990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құрылымдық бөлімшелері және мемлекеттік органдар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5G/IMT-2020 бесінші буын жылжымалы ұялы байланыс үшін перспективалы жолақ. Қолданыстағы РЭҚ үшін 2029 жылға дейін РЖС қолдануға рұқсат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24,25-27,5 ГГц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Керекті жобаны іске асыратын кезде келісу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5G/IMT-2020 бесінші буынды жылжымалы ұялы байланыс үшін перспективалы жолақ.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27,5-29,5 ГГц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Керекті жобаны іске асыратын кезде келісу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5G/IMT-2020 бесінші буынды жылжымалы ұялы байланыс үшін перспективалы жолақ.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694-960 МГц</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1710-1885 МГц</w:t>
            </w:r>
          </w:p>
          <w:p>
            <w:pPr>
              <w:spacing w:after="20"/>
              <w:ind w:left="20"/>
              <w:jc w:val="both"/>
            </w:pPr>
            <w:r>
              <w:rPr>
                <w:rFonts w:ascii="Times New Roman"/>
                <w:b w:val="false"/>
                <w:i w:val="false"/>
                <w:color w:val="000000"/>
                <w:sz w:val="20"/>
              </w:rPr>
              <w:t>
2500-2690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құрылымдық бөлімшелері және мемлекеттік органдар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2024-2029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қызметтің жоғары платформадағы станцияларды (HIBS) IMT базалық станциялар ретінде қолдану жөніндегі мәселені әрі қарай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37-43,5 ГГц</w:t>
            </w:r>
          </w:p>
          <w:bookmarkEnd w:id="15"/>
          <w:p>
            <w:pPr>
              <w:spacing w:after="20"/>
              <w:ind w:left="20"/>
              <w:jc w:val="both"/>
            </w:pPr>
            <w:r>
              <w:rPr>
                <w:rFonts w:ascii="Times New Roman"/>
                <w:b w:val="false"/>
                <w:i w:val="false"/>
                <w:color w:val="000000"/>
                <w:sz w:val="20"/>
              </w:rPr>
              <w:t>
66-71 ГГц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Керекті жобаны іске асыратын кезде келісу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5G/IMT-2020 жүйесін енгізу жөніндегі мәселені әрі қарай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4400-4800 МГц 7125-8400 МГц 14,8-15,35 ГГц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Керекті жобаны іске асыратын кезде келісу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ДРК-27 зерттеу нәтижелері мен шешіміне сәйкес IMT үшін жолақтарды пайдалану мүмкіндігін зерттеу.</w:t>
            </w:r>
          </w:p>
        </w:tc>
      </w:tr>
    </w:tbl>
    <w:bookmarkStart w:name="z23" w:id="16"/>
    <w:p>
      <w:pPr>
        <w:spacing w:after="0"/>
        <w:ind w:left="0"/>
        <w:jc w:val="left"/>
      </w:pPr>
      <w:r>
        <w:rPr>
          <w:rFonts w:ascii="Times New Roman"/>
          <w:b/>
          <w:i w:val="false"/>
          <w:color w:val="000000"/>
        </w:rPr>
        <w:t xml:space="preserve"> Тіркелген қызмет жүйесі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диапазоны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2300-2400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құрылымдық бөлімшелері және мемлекеттік органдар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LTE технологиясы қолданылған, FWA (Fixed Wireless Access) жүйесінің тіркелген абоненттік терминалдары бар стационарлық (базалық) станциялардан басқа, Қазақстан Республикасының аумағында РЖС-ге рұқсат беруді тоқтата тұру.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27,9-28,2 ГГц</w:t>
            </w:r>
          </w:p>
          <w:bookmarkEnd w:id="17"/>
          <w:p>
            <w:pPr>
              <w:spacing w:after="20"/>
              <w:ind w:left="20"/>
              <w:jc w:val="both"/>
            </w:pPr>
            <w:r>
              <w:rPr>
                <w:rFonts w:ascii="Times New Roman"/>
                <w:b w:val="false"/>
                <w:i w:val="false"/>
                <w:color w:val="000000"/>
                <w:sz w:val="20"/>
              </w:rPr>
              <w:t>
47,2-47,5 ГГц 47,9-48,2 ГГц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Керекті жобаны іске асыратын кезде келісу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платформадағы (HAPS) станциялардың жиілік жолақтарды қолдану жөніндегі мәселені әрі қарай зерттеу.</w:t>
            </w:r>
          </w:p>
        </w:tc>
      </w:tr>
    </w:tbl>
    <w:bookmarkStart w:name="z25" w:id="18"/>
    <w:p>
      <w:pPr>
        <w:spacing w:after="0"/>
        <w:ind w:left="0"/>
        <w:jc w:val="left"/>
      </w:pPr>
      <w:r>
        <w:rPr>
          <w:rFonts w:ascii="Times New Roman"/>
          <w:b/>
          <w:i w:val="false"/>
          <w:color w:val="000000"/>
        </w:rPr>
        <w:t xml:space="preserve"> Спутниктік жүйелер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диапазоны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2025-2110 МГц</w:t>
            </w:r>
          </w:p>
          <w:bookmarkEnd w:id="19"/>
          <w:p>
            <w:pPr>
              <w:spacing w:after="20"/>
              <w:ind w:left="20"/>
              <w:jc w:val="both"/>
            </w:pPr>
            <w:r>
              <w:rPr>
                <w:rFonts w:ascii="Times New Roman"/>
                <w:b w:val="false"/>
                <w:i w:val="false"/>
                <w:color w:val="000000"/>
                <w:sz w:val="20"/>
              </w:rPr>
              <w:t>
2200-2290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құрылымдық бөлімшелері және мемлекеттік органдар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зерттеу қызметтерінің NGSO ғарыш аппараттарының шеңберінде пайдаланылады.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3400-3450 МГц</w:t>
            </w:r>
          </w:p>
          <w:bookmarkEnd w:id="20"/>
          <w:p>
            <w:pPr>
              <w:spacing w:after="20"/>
              <w:ind w:left="20"/>
              <w:jc w:val="both"/>
            </w:pPr>
            <w:r>
              <w:rPr>
                <w:rFonts w:ascii="Times New Roman"/>
                <w:b w:val="false"/>
                <w:i w:val="false"/>
                <w:color w:val="000000"/>
                <w:sz w:val="20"/>
              </w:rPr>
              <w:t>
5725-5775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құрылымдық бөлімшелері және мемлекеттік органдар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спутниктік қызметтің геостационарлық спутниктік байланыс жүйелері шеңберінде пайдаланылады (ТЖҚ ГСО).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4500-4800 МГц</w:t>
            </w:r>
          </w:p>
          <w:bookmarkEnd w:id="21"/>
          <w:p>
            <w:pPr>
              <w:spacing w:after="20"/>
              <w:ind w:left="20"/>
              <w:jc w:val="both"/>
            </w:pPr>
            <w:r>
              <w:rPr>
                <w:rFonts w:ascii="Times New Roman"/>
                <w:b w:val="false"/>
                <w:i w:val="false"/>
                <w:color w:val="000000"/>
                <w:sz w:val="20"/>
              </w:rPr>
              <w:t>
6725-7025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құрылымдық бөлімшелері және мемлекеттік органдар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ҚР-ның ұлттық бөлулер шеңберінде тіркелген спутниктік қызметтің жоспарына резервте сақталған ғарыштық жүйелерді пайдалану үшін ХЭО бөлген жиілікті иемденулер.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8025-8400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құрылымдық бөлімшелері және мемлекеттік органдар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зерттеу қызметтерінің ГСЕО ғарыш аппараттарының шеңберінде пайдаланылады.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10,7-10,95 ГГц</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10,95-11,2 ГГц</w:t>
            </w:r>
          </w:p>
          <w:p>
            <w:pPr>
              <w:spacing w:after="20"/>
              <w:ind w:left="20"/>
              <w:jc w:val="both"/>
            </w:pPr>
            <w:r>
              <w:rPr>
                <w:rFonts w:ascii="Times New Roman"/>
                <w:b w:val="false"/>
                <w:i w:val="false"/>
                <w:color w:val="000000"/>
                <w:sz w:val="20"/>
              </w:rPr>
              <w:t>
</w:t>
            </w:r>
            <w:r>
              <w:rPr>
                <w:rFonts w:ascii="Times New Roman"/>
                <w:b w:val="false"/>
                <w:i w:val="false"/>
                <w:color w:val="000000"/>
                <w:sz w:val="20"/>
              </w:rPr>
              <w:t>11,2-11,45 ГГц</w:t>
            </w:r>
          </w:p>
          <w:p>
            <w:pPr>
              <w:spacing w:after="20"/>
              <w:ind w:left="20"/>
              <w:jc w:val="both"/>
            </w:pPr>
            <w:r>
              <w:rPr>
                <w:rFonts w:ascii="Times New Roman"/>
                <w:b w:val="false"/>
                <w:i w:val="false"/>
                <w:color w:val="000000"/>
                <w:sz w:val="20"/>
              </w:rPr>
              <w:t>
</w:t>
            </w:r>
            <w:r>
              <w:rPr>
                <w:rFonts w:ascii="Times New Roman"/>
                <w:b w:val="false"/>
                <w:i w:val="false"/>
                <w:color w:val="000000"/>
                <w:sz w:val="20"/>
              </w:rPr>
              <w:t>11,45-11,7 ГГц</w:t>
            </w:r>
          </w:p>
          <w:p>
            <w:pPr>
              <w:spacing w:after="20"/>
              <w:ind w:left="20"/>
              <w:jc w:val="both"/>
            </w:pPr>
            <w:r>
              <w:rPr>
                <w:rFonts w:ascii="Times New Roman"/>
                <w:b w:val="false"/>
                <w:i w:val="false"/>
                <w:color w:val="000000"/>
                <w:sz w:val="20"/>
              </w:rPr>
              <w:t>
</w:t>
            </w:r>
            <w:r>
              <w:rPr>
                <w:rFonts w:ascii="Times New Roman"/>
                <w:b w:val="false"/>
                <w:i w:val="false"/>
                <w:color w:val="000000"/>
                <w:sz w:val="20"/>
              </w:rPr>
              <w:t>12,5-12,75 ГГц</w:t>
            </w:r>
          </w:p>
          <w:p>
            <w:pPr>
              <w:spacing w:after="20"/>
              <w:ind w:left="20"/>
              <w:jc w:val="both"/>
            </w:pPr>
            <w:r>
              <w:rPr>
                <w:rFonts w:ascii="Times New Roman"/>
                <w:b w:val="false"/>
                <w:i w:val="false"/>
                <w:color w:val="000000"/>
                <w:sz w:val="20"/>
              </w:rPr>
              <w:t>
</w:t>
            </w:r>
            <w:r>
              <w:rPr>
                <w:rFonts w:ascii="Times New Roman"/>
                <w:b w:val="false"/>
                <w:i w:val="false"/>
                <w:color w:val="000000"/>
                <w:sz w:val="20"/>
              </w:rPr>
              <w:t>12,75-13,25 ГГц</w:t>
            </w:r>
          </w:p>
          <w:p>
            <w:pPr>
              <w:spacing w:after="20"/>
              <w:ind w:left="20"/>
              <w:jc w:val="both"/>
            </w:pPr>
            <w:r>
              <w:rPr>
                <w:rFonts w:ascii="Times New Roman"/>
                <w:b w:val="false"/>
                <w:i w:val="false"/>
                <w:color w:val="000000"/>
                <w:sz w:val="20"/>
              </w:rPr>
              <w:t>
13,75-14,5 ГГц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құрылымдық бөлімшелері және мемлекеттік органдар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спутниктік қызметтің геостационарлық спутниктік байланыс жүйелері шеңберінде пайдаланылады (ТСҚ ГСО).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11,7-12,5 ГГц</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13,4-13,65 ГГц</w:t>
            </w:r>
          </w:p>
          <w:p>
            <w:pPr>
              <w:spacing w:after="20"/>
              <w:ind w:left="20"/>
              <w:jc w:val="both"/>
            </w:pPr>
            <w:r>
              <w:rPr>
                <w:rFonts w:ascii="Times New Roman"/>
                <w:b w:val="false"/>
                <w:i w:val="false"/>
                <w:color w:val="000000"/>
                <w:sz w:val="20"/>
              </w:rPr>
              <w:t>
</w:t>
            </w:r>
            <w:r>
              <w:rPr>
                <w:rFonts w:ascii="Times New Roman"/>
                <w:b w:val="false"/>
                <w:i w:val="false"/>
                <w:color w:val="000000"/>
                <w:sz w:val="20"/>
              </w:rPr>
              <w:t>14,5-14,75 ГГц</w:t>
            </w:r>
          </w:p>
          <w:p>
            <w:pPr>
              <w:spacing w:after="20"/>
              <w:ind w:left="20"/>
              <w:jc w:val="both"/>
            </w:pPr>
            <w:r>
              <w:rPr>
                <w:rFonts w:ascii="Times New Roman"/>
                <w:b w:val="false"/>
                <w:i w:val="false"/>
                <w:color w:val="000000"/>
                <w:sz w:val="20"/>
              </w:rPr>
              <w:t>
</w:t>
            </w:r>
            <w:r>
              <w:rPr>
                <w:rFonts w:ascii="Times New Roman"/>
                <w:b w:val="false"/>
                <w:i w:val="false"/>
                <w:color w:val="000000"/>
                <w:sz w:val="20"/>
              </w:rPr>
              <w:t>14,5-14,8 ГГц</w:t>
            </w:r>
          </w:p>
          <w:p>
            <w:pPr>
              <w:spacing w:after="20"/>
              <w:ind w:left="20"/>
              <w:jc w:val="both"/>
            </w:pPr>
            <w:r>
              <w:rPr>
                <w:rFonts w:ascii="Times New Roman"/>
                <w:b w:val="false"/>
                <w:i w:val="false"/>
                <w:color w:val="000000"/>
                <w:sz w:val="20"/>
              </w:rPr>
              <w:t>
17,3-18,1 ГГц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құрылымдық бөлімшелері және мемлекеттік органдар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және радиохабар тарату спутниктік қызметтің спутниктік байланыс жүйелері үшін жиілік жолақтарын перспективалы пайдалану (ТСҚ ГСО және РСҚ).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10,7-10,95 ГГц</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11,2-11,45 ГГц</w:t>
            </w:r>
          </w:p>
          <w:p>
            <w:pPr>
              <w:spacing w:after="20"/>
              <w:ind w:left="20"/>
              <w:jc w:val="both"/>
            </w:pPr>
            <w:r>
              <w:rPr>
                <w:rFonts w:ascii="Times New Roman"/>
                <w:b w:val="false"/>
                <w:i w:val="false"/>
                <w:color w:val="000000"/>
                <w:sz w:val="20"/>
              </w:rPr>
              <w:t>
</w:t>
            </w:r>
            <w:r>
              <w:rPr>
                <w:rFonts w:ascii="Times New Roman"/>
                <w:b w:val="false"/>
                <w:i w:val="false"/>
                <w:color w:val="000000"/>
                <w:sz w:val="20"/>
              </w:rPr>
              <w:t>11713,98-12086,22 МГц</w:t>
            </w:r>
          </w:p>
          <w:p>
            <w:pPr>
              <w:spacing w:after="20"/>
              <w:ind w:left="20"/>
              <w:jc w:val="both"/>
            </w:pPr>
            <w:r>
              <w:rPr>
                <w:rFonts w:ascii="Times New Roman"/>
                <w:b w:val="false"/>
                <w:i w:val="false"/>
                <w:color w:val="000000"/>
                <w:sz w:val="20"/>
              </w:rPr>
              <w:t>
</w:t>
            </w:r>
            <w:r>
              <w:rPr>
                <w:rFonts w:ascii="Times New Roman"/>
                <w:b w:val="false"/>
                <w:i w:val="false"/>
                <w:color w:val="000000"/>
                <w:sz w:val="20"/>
              </w:rPr>
              <w:t>12,75-13,25 ГГц</w:t>
            </w:r>
          </w:p>
          <w:p>
            <w:pPr>
              <w:spacing w:after="20"/>
              <w:ind w:left="20"/>
              <w:jc w:val="both"/>
            </w:pPr>
            <w:r>
              <w:rPr>
                <w:rFonts w:ascii="Times New Roman"/>
                <w:b w:val="false"/>
                <w:i w:val="false"/>
                <w:color w:val="000000"/>
                <w:sz w:val="20"/>
              </w:rPr>
              <w:t>
17313,98-17686,22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құрылымдық бөлімшелері және мемлекеттік органдар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ҚР-ның ұлттық бөлулер шеңберінде тіркелген спутниктік қызметтің жоспарына резервте сақталған ғарыштық жүйелерді пайдалану үшін ХЭО бөлген жиілікті иемденулер.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5"/>
          <w:p>
            <w:pPr>
              <w:spacing w:after="20"/>
              <w:ind w:left="20"/>
              <w:jc w:val="both"/>
            </w:pPr>
            <w:r>
              <w:rPr>
                <w:rFonts w:ascii="Times New Roman"/>
                <w:b w:val="false"/>
                <w:i w:val="false"/>
                <w:color w:val="000000"/>
                <w:sz w:val="20"/>
              </w:rPr>
              <w:t>
10,7-10,95 ГГц</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11,2-11,45 ГГц</w:t>
            </w:r>
          </w:p>
          <w:p>
            <w:pPr>
              <w:spacing w:after="20"/>
              <w:ind w:left="20"/>
              <w:jc w:val="both"/>
            </w:pPr>
            <w:r>
              <w:rPr>
                <w:rFonts w:ascii="Times New Roman"/>
                <w:b w:val="false"/>
                <w:i w:val="false"/>
                <w:color w:val="000000"/>
                <w:sz w:val="20"/>
              </w:rPr>
              <w:t>
</w:t>
            </w:r>
            <w:r>
              <w:rPr>
                <w:rFonts w:ascii="Times New Roman"/>
                <w:b w:val="false"/>
                <w:i w:val="false"/>
                <w:color w:val="000000"/>
                <w:sz w:val="20"/>
              </w:rPr>
              <w:t>12,75-13,25 ГГц</w:t>
            </w:r>
          </w:p>
          <w:p>
            <w:pPr>
              <w:spacing w:after="20"/>
              <w:ind w:left="20"/>
              <w:jc w:val="both"/>
            </w:pPr>
            <w:r>
              <w:rPr>
                <w:rFonts w:ascii="Times New Roman"/>
                <w:b w:val="false"/>
                <w:i w:val="false"/>
                <w:color w:val="000000"/>
                <w:sz w:val="20"/>
              </w:rPr>
              <w:t>
</w:t>
            </w:r>
            <w:r>
              <w:rPr>
                <w:rFonts w:ascii="Times New Roman"/>
                <w:b w:val="false"/>
                <w:i w:val="false"/>
                <w:color w:val="000000"/>
                <w:sz w:val="20"/>
              </w:rPr>
              <w:t>13,75-14,5 ГГц</w:t>
            </w:r>
          </w:p>
          <w:p>
            <w:pPr>
              <w:spacing w:after="20"/>
              <w:ind w:left="20"/>
              <w:jc w:val="both"/>
            </w:pPr>
            <w:r>
              <w:rPr>
                <w:rFonts w:ascii="Times New Roman"/>
                <w:b w:val="false"/>
                <w:i w:val="false"/>
                <w:color w:val="000000"/>
                <w:sz w:val="20"/>
              </w:rPr>
              <w:t>
</w:t>
            </w:r>
            <w:r>
              <w:rPr>
                <w:rFonts w:ascii="Times New Roman"/>
                <w:b w:val="false"/>
                <w:i w:val="false"/>
                <w:color w:val="000000"/>
                <w:sz w:val="20"/>
              </w:rPr>
              <w:t>17,7-18,6 ГГц</w:t>
            </w:r>
          </w:p>
          <w:p>
            <w:pPr>
              <w:spacing w:after="20"/>
              <w:ind w:left="20"/>
              <w:jc w:val="both"/>
            </w:pPr>
            <w:r>
              <w:rPr>
                <w:rFonts w:ascii="Times New Roman"/>
                <w:b w:val="false"/>
                <w:i w:val="false"/>
                <w:color w:val="000000"/>
                <w:sz w:val="20"/>
              </w:rPr>
              <w:t>
</w:t>
            </w:r>
            <w:r>
              <w:rPr>
                <w:rFonts w:ascii="Times New Roman"/>
                <w:b w:val="false"/>
                <w:i w:val="false"/>
                <w:color w:val="000000"/>
                <w:sz w:val="20"/>
              </w:rPr>
              <w:t>18,8-19,3 ГГц</w:t>
            </w:r>
          </w:p>
          <w:p>
            <w:pPr>
              <w:spacing w:after="20"/>
              <w:ind w:left="20"/>
              <w:jc w:val="both"/>
            </w:pPr>
            <w:r>
              <w:rPr>
                <w:rFonts w:ascii="Times New Roman"/>
                <w:b w:val="false"/>
                <w:i w:val="false"/>
                <w:color w:val="000000"/>
                <w:sz w:val="20"/>
              </w:rPr>
              <w:t>
</w:t>
            </w:r>
            <w:r>
              <w:rPr>
                <w:rFonts w:ascii="Times New Roman"/>
                <w:b w:val="false"/>
                <w:i w:val="false"/>
                <w:color w:val="000000"/>
                <w:sz w:val="20"/>
              </w:rPr>
              <w:t>19,7-20,2 ГГц</w:t>
            </w:r>
          </w:p>
          <w:p>
            <w:pPr>
              <w:spacing w:after="20"/>
              <w:ind w:left="20"/>
              <w:jc w:val="both"/>
            </w:pPr>
            <w:r>
              <w:rPr>
                <w:rFonts w:ascii="Times New Roman"/>
                <w:b w:val="false"/>
                <w:i w:val="false"/>
                <w:color w:val="000000"/>
                <w:sz w:val="20"/>
              </w:rPr>
              <w:t>
</w:t>
            </w:r>
            <w:r>
              <w:rPr>
                <w:rFonts w:ascii="Times New Roman"/>
                <w:b w:val="false"/>
                <w:i w:val="false"/>
                <w:color w:val="000000"/>
                <w:sz w:val="20"/>
              </w:rPr>
              <w:t>27,5-29,1 ГГц</w:t>
            </w:r>
          </w:p>
          <w:p>
            <w:pPr>
              <w:spacing w:after="20"/>
              <w:ind w:left="20"/>
              <w:jc w:val="both"/>
            </w:pPr>
            <w:r>
              <w:rPr>
                <w:rFonts w:ascii="Times New Roman"/>
                <w:b w:val="false"/>
                <w:i w:val="false"/>
                <w:color w:val="000000"/>
                <w:sz w:val="20"/>
              </w:rPr>
              <w:t>
29,5-30 ГГц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құрылымдық бөлімшелері және мемлекеттік органдар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спутниктік қызметтің глобалды геостационарлық емес спутниктік жүйелермен (ТСҚ ГСЕО) жиілік жолақтарын перспективалы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6"/>
          <w:p>
            <w:pPr>
              <w:spacing w:after="20"/>
              <w:ind w:left="20"/>
              <w:jc w:val="both"/>
            </w:pPr>
            <w:r>
              <w:rPr>
                <w:rFonts w:ascii="Times New Roman"/>
                <w:b w:val="false"/>
                <w:i w:val="false"/>
                <w:color w:val="000000"/>
                <w:sz w:val="20"/>
              </w:rPr>
              <w:t>
17,7-19,7 ГГц</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27,5-29,5 ГГц</w:t>
            </w:r>
          </w:p>
          <w:p>
            <w:pPr>
              <w:spacing w:after="20"/>
              <w:ind w:left="20"/>
              <w:jc w:val="both"/>
            </w:pPr>
            <w:r>
              <w:rPr>
                <w:rFonts w:ascii="Times New Roman"/>
                <w:b w:val="false"/>
                <w:i w:val="false"/>
                <w:color w:val="000000"/>
                <w:sz w:val="20"/>
              </w:rPr>
              <w:t>
12,75-13,25 ГГц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құрылымдық бөлімшелері және мемлекеттік органдар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ТСҚ ГСО спутниктермен байланыс орнататын қозғалыстағы жер станциялары (ESIM) үшін жиілік жолақтарын перспективалы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7"/>
          <w:p>
            <w:pPr>
              <w:spacing w:after="20"/>
              <w:ind w:left="20"/>
              <w:jc w:val="both"/>
            </w:pPr>
            <w:r>
              <w:rPr>
                <w:rFonts w:ascii="Times New Roman"/>
                <w:b w:val="false"/>
                <w:i w:val="false"/>
                <w:color w:val="000000"/>
                <w:sz w:val="20"/>
              </w:rPr>
              <w:t>
17,7-18,6 ГГц</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18,8-19,3 ГГц</w:t>
            </w:r>
          </w:p>
          <w:p>
            <w:pPr>
              <w:spacing w:after="20"/>
              <w:ind w:left="20"/>
              <w:jc w:val="both"/>
            </w:pPr>
            <w:r>
              <w:rPr>
                <w:rFonts w:ascii="Times New Roman"/>
                <w:b w:val="false"/>
                <w:i w:val="false"/>
                <w:color w:val="000000"/>
                <w:sz w:val="20"/>
              </w:rPr>
              <w:t>
</w:t>
            </w:r>
            <w:r>
              <w:rPr>
                <w:rFonts w:ascii="Times New Roman"/>
                <w:b w:val="false"/>
                <w:i w:val="false"/>
                <w:color w:val="000000"/>
                <w:sz w:val="20"/>
              </w:rPr>
              <w:t>19,7-20,2 ГГц</w:t>
            </w:r>
          </w:p>
          <w:p>
            <w:pPr>
              <w:spacing w:after="20"/>
              <w:ind w:left="20"/>
              <w:jc w:val="both"/>
            </w:pPr>
            <w:r>
              <w:rPr>
                <w:rFonts w:ascii="Times New Roman"/>
                <w:b w:val="false"/>
                <w:i w:val="false"/>
                <w:color w:val="000000"/>
                <w:sz w:val="20"/>
              </w:rPr>
              <w:t>
</w:t>
            </w:r>
            <w:r>
              <w:rPr>
                <w:rFonts w:ascii="Times New Roman"/>
                <w:b w:val="false"/>
                <w:i w:val="false"/>
                <w:color w:val="000000"/>
                <w:sz w:val="20"/>
              </w:rPr>
              <w:t>27,5-29,1 ГГц</w:t>
            </w:r>
          </w:p>
          <w:p>
            <w:pPr>
              <w:spacing w:after="20"/>
              <w:ind w:left="20"/>
              <w:jc w:val="both"/>
            </w:pPr>
            <w:r>
              <w:rPr>
                <w:rFonts w:ascii="Times New Roman"/>
                <w:b w:val="false"/>
                <w:i w:val="false"/>
                <w:color w:val="000000"/>
                <w:sz w:val="20"/>
              </w:rPr>
              <w:t>
29,5-30 ГГц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құрылымдық бөлімшелері және мемлекеттік органдар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ТСҚ NGSO спутниктермен байланыс орнататын қозғалыстағы жер станциялары (ESIM) үшін жиілік жолақтарын перспективалы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8"/>
          <w:p>
            <w:pPr>
              <w:spacing w:after="20"/>
              <w:ind w:left="20"/>
              <w:jc w:val="both"/>
            </w:pPr>
            <w:r>
              <w:rPr>
                <w:rFonts w:ascii="Times New Roman"/>
                <w:b w:val="false"/>
                <w:i w:val="false"/>
                <w:color w:val="000000"/>
                <w:sz w:val="20"/>
              </w:rPr>
              <w:t>
17,7-20,3 ГГц</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20,2-21,2 ГГц</w:t>
            </w:r>
          </w:p>
          <w:p>
            <w:pPr>
              <w:spacing w:after="20"/>
              <w:ind w:left="20"/>
              <w:jc w:val="both"/>
            </w:pPr>
            <w:r>
              <w:rPr>
                <w:rFonts w:ascii="Times New Roman"/>
                <w:b w:val="false"/>
                <w:i w:val="false"/>
                <w:color w:val="000000"/>
                <w:sz w:val="20"/>
              </w:rPr>
              <w:t>
</w:t>
            </w:r>
            <w:r>
              <w:rPr>
                <w:rFonts w:ascii="Times New Roman"/>
                <w:b w:val="false"/>
                <w:i w:val="false"/>
                <w:color w:val="000000"/>
                <w:sz w:val="20"/>
              </w:rPr>
              <w:t>21,4-22 ГГц</w:t>
            </w:r>
          </w:p>
          <w:p>
            <w:pPr>
              <w:spacing w:after="20"/>
              <w:ind w:left="20"/>
              <w:jc w:val="both"/>
            </w:pPr>
            <w:r>
              <w:rPr>
                <w:rFonts w:ascii="Times New Roman"/>
                <w:b w:val="false"/>
                <w:i w:val="false"/>
                <w:color w:val="000000"/>
                <w:sz w:val="20"/>
              </w:rPr>
              <w:t>
</w:t>
            </w:r>
            <w:r>
              <w:rPr>
                <w:rFonts w:ascii="Times New Roman"/>
                <w:b w:val="false"/>
                <w:i w:val="false"/>
                <w:color w:val="000000"/>
                <w:sz w:val="20"/>
              </w:rPr>
              <w:t>27,5-30 ГГц</w:t>
            </w:r>
          </w:p>
          <w:p>
            <w:pPr>
              <w:spacing w:after="20"/>
              <w:ind w:left="20"/>
              <w:jc w:val="both"/>
            </w:pPr>
            <w:r>
              <w:rPr>
                <w:rFonts w:ascii="Times New Roman"/>
                <w:b w:val="false"/>
                <w:i w:val="false"/>
                <w:color w:val="000000"/>
                <w:sz w:val="20"/>
              </w:rPr>
              <w:t>
30-31 ГГц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құрылымдық бөлімшелері және мемлекеттік органдар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байланыс үшін жиілік жолақтарын перспективалы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9"/>
          <w:p>
            <w:pPr>
              <w:spacing w:after="20"/>
              <w:ind w:left="20"/>
              <w:jc w:val="both"/>
            </w:pPr>
            <w:r>
              <w:rPr>
                <w:rFonts w:ascii="Times New Roman"/>
                <w:b w:val="false"/>
                <w:i w:val="false"/>
                <w:color w:val="000000"/>
                <w:sz w:val="20"/>
              </w:rPr>
              <w:t>
37,5-40,5 ГГц</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42,5-43,5 ГГц</w:t>
            </w:r>
          </w:p>
          <w:p>
            <w:pPr>
              <w:spacing w:after="20"/>
              <w:ind w:left="20"/>
              <w:jc w:val="both"/>
            </w:pPr>
            <w:r>
              <w:rPr>
                <w:rFonts w:ascii="Times New Roman"/>
                <w:b w:val="false"/>
                <w:i w:val="false"/>
                <w:color w:val="000000"/>
                <w:sz w:val="20"/>
              </w:rPr>
              <w:t>
</w:t>
            </w:r>
            <w:r>
              <w:rPr>
                <w:rFonts w:ascii="Times New Roman"/>
                <w:b w:val="false"/>
                <w:i w:val="false"/>
                <w:color w:val="000000"/>
                <w:sz w:val="20"/>
              </w:rPr>
              <w:t>43,5-47 ГГц</w:t>
            </w:r>
          </w:p>
          <w:p>
            <w:pPr>
              <w:spacing w:after="20"/>
              <w:ind w:left="20"/>
              <w:jc w:val="both"/>
            </w:pPr>
            <w:r>
              <w:rPr>
                <w:rFonts w:ascii="Times New Roman"/>
                <w:b w:val="false"/>
                <w:i w:val="false"/>
                <w:color w:val="000000"/>
                <w:sz w:val="20"/>
              </w:rPr>
              <w:t>
</w:t>
            </w:r>
            <w:r>
              <w:rPr>
                <w:rFonts w:ascii="Times New Roman"/>
                <w:b w:val="false"/>
                <w:i w:val="false"/>
                <w:color w:val="000000"/>
                <w:sz w:val="20"/>
              </w:rPr>
              <w:t>47,2-50,2 ГГц</w:t>
            </w:r>
          </w:p>
          <w:p>
            <w:pPr>
              <w:spacing w:after="20"/>
              <w:ind w:left="20"/>
              <w:jc w:val="both"/>
            </w:pPr>
            <w:r>
              <w:rPr>
                <w:rFonts w:ascii="Times New Roman"/>
                <w:b w:val="false"/>
                <w:i w:val="false"/>
                <w:color w:val="000000"/>
                <w:sz w:val="20"/>
              </w:rPr>
              <w:t>
50,4-51,4 ГГц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Керекті жобаны іске асыратын кезде келісу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байланыс үшін жиілік жолақтарын перспективалы пайдалану (ТСҚ ГСО).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ГГц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құрылымдық бөлімшелері және мемлекеттік органдар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IMT (D2D) желілерін қамтумен қатар ғарыш станциялары мен Халықаралық жылжымалы электрбайланысын (IMT) пайдалану жабдықтары арасындағы тікелей қосылу үшін жылжымалы спутниктік қызметке жаңа бөлулер мүмкіндігін зерттеу.</w:t>
            </w:r>
          </w:p>
        </w:tc>
      </w:tr>
    </w:tbl>
    <w:bookmarkStart w:name="z65" w:id="30"/>
    <w:p>
      <w:pPr>
        <w:spacing w:after="0"/>
        <w:ind w:left="0"/>
        <w:jc w:val="left"/>
      </w:pPr>
      <w:r>
        <w:rPr>
          <w:rFonts w:ascii="Times New Roman"/>
          <w:b/>
          <w:i w:val="false"/>
          <w:color w:val="000000"/>
        </w:rPr>
        <w:t xml:space="preserve"> Телерадиохабар тарату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диапазоны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1"/>
          <w:p>
            <w:pPr>
              <w:spacing w:after="20"/>
              <w:ind w:left="20"/>
              <w:jc w:val="both"/>
            </w:pPr>
            <w:r>
              <w:rPr>
                <w:rFonts w:ascii="Times New Roman"/>
                <w:b w:val="false"/>
                <w:i w:val="false"/>
                <w:color w:val="000000"/>
                <w:sz w:val="20"/>
              </w:rPr>
              <w:t>
66-74 МГц</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87,5-108 МГц</w:t>
            </w:r>
          </w:p>
          <w:p>
            <w:pPr>
              <w:spacing w:after="20"/>
              <w:ind w:left="20"/>
              <w:jc w:val="both"/>
            </w:pPr>
            <w:r>
              <w:rPr>
                <w:rFonts w:ascii="Times New Roman"/>
                <w:b w:val="false"/>
                <w:i w:val="false"/>
                <w:color w:val="000000"/>
                <w:sz w:val="20"/>
              </w:rPr>
              <w:t>
174-230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құрылымдық бөлімшелері және мемлекеттік органдар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Мүдделі тараптармен жұмыс өткізу және цифрлық радиохабар тарату байланысын енгізу жөніндегі мәселені зерттеу.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470-694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құрылымдық бөлімшелері және мемлекеттік органдар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жолақтағы спектрді қазіргі уақытта пайдалануға және IMT-ді болашақта ықтималды пайдалануға бағалау жүргізу. ХЭО зерттеуін назарға ала отырып, 470-694 МГц спектрін болашақта пайдалану мен ҚР цифрлық жерүсті теледидарын таратудың болашақтағы стратегиясын қарастыру және IMT технологиялар аймағында халықаралық әзірлеу мен осы жолақтағы таратуды байқап отыру.</w:t>
            </w:r>
          </w:p>
        </w:tc>
      </w:tr>
    </w:tbl>
    <w:bookmarkStart w:name="z68" w:id="32"/>
    <w:p>
      <w:pPr>
        <w:spacing w:after="0"/>
        <w:ind w:left="0"/>
        <w:jc w:val="left"/>
      </w:pPr>
      <w:r>
        <w:rPr>
          <w:rFonts w:ascii="Times New Roman"/>
          <w:b/>
          <w:i w:val="false"/>
          <w:color w:val="000000"/>
        </w:rPr>
        <w:t xml:space="preserve"> Кіші радиусты жабдық</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диапазоны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5925-6425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құрылымдық бөлімшелері және мемлекеттік органдар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Қағидаларға сәйкес WiFi 6E, WiFi 7 жүйелерін енгізу.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5875-5925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құрылымдық бөлімшелері және мемлекеттік органдар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көліктік жүйелер үшін жолақтарды пайдалану жөніндегі мәселені қарастыру.</w:t>
            </w:r>
          </w:p>
        </w:tc>
      </w:tr>
    </w:tbl>
    <w:bookmarkStart w:name="z69" w:id="33"/>
    <w:p>
      <w:pPr>
        <w:spacing w:after="0"/>
        <w:ind w:left="0"/>
        <w:jc w:val="left"/>
      </w:pPr>
      <w:r>
        <w:rPr>
          <w:rFonts w:ascii="Times New Roman"/>
          <w:b/>
          <w:i w:val="false"/>
          <w:color w:val="000000"/>
        </w:rPr>
        <w:t xml:space="preserve"> Жылжымалы объектілердегі байланыс жүйелері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диапазоны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1905-1915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құрылымдық бөлімшелері және мемлекеттік органдар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LTE-R теміржол жылжымалы байланыс жүйелерін енгізу туралы мәселені қарастыру. Қазақстан Республикасының аумағында РЖС-ге рұқсат беруді тоқтата тұру.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4"/>
          <w:p>
            <w:pPr>
              <w:spacing w:after="20"/>
              <w:ind w:left="20"/>
              <w:jc w:val="both"/>
            </w:pPr>
            <w:r>
              <w:rPr>
                <w:rFonts w:ascii="Times New Roman"/>
                <w:b w:val="false"/>
                <w:i w:val="false"/>
                <w:color w:val="000000"/>
                <w:sz w:val="20"/>
              </w:rPr>
              <w:t>
1980-1995/</w:t>
            </w:r>
          </w:p>
          <w:bookmarkEnd w:id="34"/>
          <w:p>
            <w:pPr>
              <w:spacing w:after="20"/>
              <w:ind w:left="20"/>
              <w:jc w:val="both"/>
            </w:pPr>
            <w:r>
              <w:rPr>
                <w:rFonts w:ascii="Times New Roman"/>
                <w:b w:val="false"/>
                <w:i w:val="false"/>
                <w:color w:val="000000"/>
                <w:sz w:val="20"/>
              </w:rPr>
              <w:t>
2170-2185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құрылымдық бөлімшелері және мемлекеттік органдар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Air-to-Ground жүйесін енгізу туралы мәселені қарастыру.</w:t>
            </w:r>
          </w:p>
        </w:tc>
      </w:tr>
    </w:tbl>
    <w:bookmarkStart w:name="z71" w:id="35"/>
    <w:p>
      <w:pPr>
        <w:spacing w:after="0"/>
        <w:ind w:left="0"/>
        <w:jc w:val="left"/>
      </w:pPr>
      <w:r>
        <w:rPr>
          <w:rFonts w:ascii="Times New Roman"/>
          <w:b/>
          <w:i w:val="false"/>
          <w:color w:val="000000"/>
        </w:rPr>
        <w:t xml:space="preserve"> Сымсыз радио қолжетімділік жүйелері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диапазоны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5925-7125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құрылымдық бөлімшелері және мемлекеттік органдар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WiFi 6E, WiFi 7 жүйелерін қолдана отырып, сымсыз радио қолжетімділікті ұйымдастыру мақсатында стационарлық нүктелерден басқа, Қазақстан Республикасының аумағында РЖС-ге рұқсат беруді тоқтата тұру.</w:t>
            </w:r>
          </w:p>
        </w:tc>
      </w:tr>
    </w:tbl>
    <w:bookmarkStart w:name="z72" w:id="36"/>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м.а. 2015 жылғы 21 қаңтардағы № 34 бұйрығымен бекітілген Жиіліктер белдеулерін, радиожиіліктерді (радиожиілік арналарын) иелікке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электромагниттік үйлесімділігін есептеуді жүргізу </w:t>
      </w:r>
      <w:r>
        <w:rPr>
          <w:rFonts w:ascii="Times New Roman"/>
          <w:b w:val="false"/>
          <w:i w:val="false"/>
          <w:color w:val="000000"/>
          <w:sz w:val="28"/>
        </w:rPr>
        <w:t>қағидалары</w:t>
      </w:r>
      <w:r>
        <w:rPr>
          <w:rFonts w:ascii="Times New Roman"/>
          <w:b w:val="false"/>
          <w:i w:val="false"/>
          <w:color w:val="000000"/>
          <w:sz w:val="28"/>
        </w:rPr>
        <w:t>.</w:t>
      </w:r>
    </w:p>
    <w:bookmarkEnd w:id="36"/>
    <w:bookmarkStart w:name="z73" w:id="37"/>
    <w:p>
      <w:pPr>
        <w:spacing w:after="0"/>
        <w:ind w:left="0"/>
        <w:jc w:val="both"/>
      </w:pPr>
      <w:r>
        <w:rPr>
          <w:rFonts w:ascii="Times New Roman"/>
          <w:b w:val="false"/>
          <w:i w:val="false"/>
          <w:color w:val="000000"/>
          <w:sz w:val="28"/>
        </w:rPr>
        <w:t>
      Қысқартулар:</w:t>
      </w:r>
    </w:p>
    <w:bookmarkEnd w:id="37"/>
    <w:bookmarkStart w:name="z74" w:id="38"/>
    <w:p>
      <w:pPr>
        <w:spacing w:after="0"/>
        <w:ind w:left="0"/>
        <w:jc w:val="both"/>
      </w:pPr>
      <w:r>
        <w:rPr>
          <w:rFonts w:ascii="Times New Roman"/>
          <w:b w:val="false"/>
          <w:i w:val="false"/>
          <w:color w:val="000000"/>
          <w:sz w:val="28"/>
        </w:rPr>
        <w:t>
      ҚР – Қазақстан Республикасы;</w:t>
      </w:r>
    </w:p>
    <w:bookmarkEnd w:id="38"/>
    <w:bookmarkStart w:name="z75" w:id="39"/>
    <w:p>
      <w:pPr>
        <w:spacing w:after="0"/>
        <w:ind w:left="0"/>
        <w:jc w:val="both"/>
      </w:pPr>
      <w:r>
        <w:rPr>
          <w:rFonts w:ascii="Times New Roman"/>
          <w:b w:val="false"/>
          <w:i w:val="false"/>
          <w:color w:val="000000"/>
          <w:sz w:val="28"/>
        </w:rPr>
        <w:t>
      ҚР ҚМ – Қазақстан Республикасының Қорғаныс министрлігі;</w:t>
      </w:r>
    </w:p>
    <w:bookmarkEnd w:id="39"/>
    <w:bookmarkStart w:name="z76" w:id="40"/>
    <w:p>
      <w:pPr>
        <w:spacing w:after="0"/>
        <w:ind w:left="0"/>
        <w:jc w:val="both"/>
      </w:pPr>
      <w:r>
        <w:rPr>
          <w:rFonts w:ascii="Times New Roman"/>
          <w:b w:val="false"/>
          <w:i w:val="false"/>
          <w:color w:val="000000"/>
          <w:sz w:val="28"/>
        </w:rPr>
        <w:t>
      ХЭО – Халықаралық электр байланыс одағы;</w:t>
      </w:r>
    </w:p>
    <w:bookmarkEnd w:id="40"/>
    <w:bookmarkStart w:name="z77" w:id="41"/>
    <w:p>
      <w:pPr>
        <w:spacing w:after="0"/>
        <w:ind w:left="0"/>
        <w:jc w:val="both"/>
      </w:pPr>
      <w:r>
        <w:rPr>
          <w:rFonts w:ascii="Times New Roman"/>
          <w:b w:val="false"/>
          <w:i w:val="false"/>
          <w:color w:val="000000"/>
          <w:sz w:val="28"/>
        </w:rPr>
        <w:t>
      РЖС – Радиожиілік спектр;</w:t>
      </w:r>
    </w:p>
    <w:bookmarkEnd w:id="41"/>
    <w:bookmarkStart w:name="z78" w:id="42"/>
    <w:p>
      <w:pPr>
        <w:spacing w:after="0"/>
        <w:ind w:left="0"/>
        <w:jc w:val="both"/>
      </w:pPr>
      <w:r>
        <w:rPr>
          <w:rFonts w:ascii="Times New Roman"/>
          <w:b w:val="false"/>
          <w:i w:val="false"/>
          <w:color w:val="000000"/>
          <w:sz w:val="28"/>
        </w:rPr>
        <w:t>
      ЖБЖС – Жерсеріктік байланыс жер станциялары;</w:t>
      </w:r>
    </w:p>
    <w:bookmarkEnd w:id="42"/>
    <w:bookmarkStart w:name="z79" w:id="43"/>
    <w:p>
      <w:pPr>
        <w:spacing w:after="0"/>
        <w:ind w:left="0"/>
        <w:jc w:val="both"/>
      </w:pPr>
      <w:r>
        <w:rPr>
          <w:rFonts w:ascii="Times New Roman"/>
          <w:b w:val="false"/>
          <w:i w:val="false"/>
          <w:color w:val="000000"/>
          <w:sz w:val="28"/>
        </w:rPr>
        <w:t>
      ДРК – Дүниежүзілік радиобайланыс конференциясы;</w:t>
      </w:r>
    </w:p>
    <w:bookmarkEnd w:id="43"/>
    <w:bookmarkStart w:name="z80" w:id="44"/>
    <w:p>
      <w:pPr>
        <w:spacing w:after="0"/>
        <w:ind w:left="0"/>
        <w:jc w:val="both"/>
      </w:pPr>
      <w:r>
        <w:rPr>
          <w:rFonts w:ascii="Times New Roman"/>
          <w:b w:val="false"/>
          <w:i w:val="false"/>
          <w:color w:val="000000"/>
          <w:sz w:val="28"/>
        </w:rPr>
        <w:t>
      ГСО – Геостационарлық орбита;</w:t>
      </w:r>
    </w:p>
    <w:bookmarkEnd w:id="44"/>
    <w:bookmarkStart w:name="z81" w:id="45"/>
    <w:p>
      <w:pPr>
        <w:spacing w:after="0"/>
        <w:ind w:left="0"/>
        <w:jc w:val="both"/>
      </w:pPr>
      <w:r>
        <w:rPr>
          <w:rFonts w:ascii="Times New Roman"/>
          <w:b w:val="false"/>
          <w:i w:val="false"/>
          <w:color w:val="000000"/>
          <w:sz w:val="28"/>
        </w:rPr>
        <w:t xml:space="preserve">
      ГСЕО – Геостационарлық емес орбита; </w:t>
      </w:r>
    </w:p>
    <w:bookmarkEnd w:id="45"/>
    <w:bookmarkStart w:name="z82" w:id="46"/>
    <w:p>
      <w:pPr>
        <w:spacing w:after="0"/>
        <w:ind w:left="0"/>
        <w:jc w:val="both"/>
      </w:pPr>
      <w:r>
        <w:rPr>
          <w:rFonts w:ascii="Times New Roman"/>
          <w:b w:val="false"/>
          <w:i w:val="false"/>
          <w:color w:val="000000"/>
          <w:sz w:val="28"/>
        </w:rPr>
        <w:t>
      IMT – International Mobile Telecommunications;</w:t>
      </w:r>
    </w:p>
    <w:bookmarkEnd w:id="46"/>
    <w:bookmarkStart w:name="z83" w:id="47"/>
    <w:p>
      <w:pPr>
        <w:spacing w:after="0"/>
        <w:ind w:left="0"/>
        <w:jc w:val="both"/>
      </w:pPr>
      <w:r>
        <w:rPr>
          <w:rFonts w:ascii="Times New Roman"/>
          <w:b w:val="false"/>
          <w:i w:val="false"/>
          <w:color w:val="000000"/>
          <w:sz w:val="28"/>
        </w:rPr>
        <w:t>
      GSM – Global System for Mobile communications;</w:t>
      </w:r>
    </w:p>
    <w:bookmarkEnd w:id="47"/>
    <w:bookmarkStart w:name="z84" w:id="48"/>
    <w:p>
      <w:pPr>
        <w:spacing w:after="0"/>
        <w:ind w:left="0"/>
        <w:jc w:val="both"/>
      </w:pPr>
      <w:r>
        <w:rPr>
          <w:rFonts w:ascii="Times New Roman"/>
          <w:b w:val="false"/>
          <w:i w:val="false"/>
          <w:color w:val="000000"/>
          <w:sz w:val="28"/>
        </w:rPr>
        <w:t>
      UMTS – Universal Mobile Telecommunications System;</w:t>
      </w:r>
    </w:p>
    <w:bookmarkEnd w:id="48"/>
    <w:bookmarkStart w:name="z85" w:id="49"/>
    <w:p>
      <w:pPr>
        <w:spacing w:after="0"/>
        <w:ind w:left="0"/>
        <w:jc w:val="both"/>
      </w:pPr>
      <w:r>
        <w:rPr>
          <w:rFonts w:ascii="Times New Roman"/>
          <w:b w:val="false"/>
          <w:i w:val="false"/>
          <w:color w:val="000000"/>
          <w:sz w:val="28"/>
        </w:rPr>
        <w:t>
      LTE – Long Term Evolution;</w:t>
      </w:r>
    </w:p>
    <w:bookmarkEnd w:id="49"/>
    <w:bookmarkStart w:name="z86" w:id="50"/>
    <w:p>
      <w:pPr>
        <w:spacing w:after="0"/>
        <w:ind w:left="0"/>
        <w:jc w:val="both"/>
      </w:pPr>
      <w:r>
        <w:rPr>
          <w:rFonts w:ascii="Times New Roman"/>
          <w:b w:val="false"/>
          <w:i w:val="false"/>
          <w:color w:val="000000"/>
          <w:sz w:val="28"/>
        </w:rPr>
        <w:t>
      HIBS – High Altitude IMT Base Stations;</w:t>
      </w:r>
    </w:p>
    <w:bookmarkEnd w:id="50"/>
    <w:bookmarkStart w:name="z87" w:id="51"/>
    <w:p>
      <w:pPr>
        <w:spacing w:after="0"/>
        <w:ind w:left="0"/>
        <w:jc w:val="both"/>
      </w:pPr>
      <w:r>
        <w:rPr>
          <w:rFonts w:ascii="Times New Roman"/>
          <w:b w:val="false"/>
          <w:i w:val="false"/>
          <w:color w:val="000000"/>
          <w:sz w:val="28"/>
        </w:rPr>
        <w:t>
      HAPS – High-Altitude Platform.</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