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a524b" w14:textId="cca52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 жүйелерінің ұлттық операторларын айқындау туралы" Қазақстан Республикасының Цифрлық даму, инновациялар және аэроғарыш өнеркәсібі министрінің 2023 жылғы 20 маусымдағы № 195/НҚ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19 сәуірдегі № 243/НҚ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"Ғарыш жүйелерінің ұлттық операторларын айқындау туралы" Қазақстан Республикасының Цифрлық даму, инновациялар және аэроғарыш өнеркәсібі министрінің 2023 жылғы 20 маусымдағы № 195/НҚ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жүктелсiн.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Бәсекелестікті қорғау</w:t>
      </w:r>
    </w:p>
    <w:p>
      <w:pPr>
        <w:spacing w:after="0"/>
        <w:ind w:left="0"/>
        <w:jc w:val="both"/>
      </w:pPr>
      <w:r>
        <w:rPr>
          <w:rFonts w:ascii="Times New Roman"/>
          <w:b w:val="false"/>
          <w:i w:val="false"/>
          <w:color w:val="000000"/>
          <w:sz w:val="28"/>
        </w:rPr>
        <w:t>және дамыту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