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37a3" w14:textId="93f3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2024 жылғы 12 қаңтардағы № 18-77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бұйрығына сәйкес, Сарқан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2024 жылғы 12 қаңтардағы №18-77 шешіміне 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