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11d6" w14:textId="7771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29 желтоқсандағы XІII сессиясының "2024-2026 жылдарға арналған кенттер, ауылдық округтер бюджеттері туралы" № 101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20 қарашадағы № 161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"2024-2026 жылдарға арналған кенттер, ауылдық округтер бюджеттері туралы" 2023 жылғы 29 желтоқсандағы №101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331 445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320 346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345 312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13867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13867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436 287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26 950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409 337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464 855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-28568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28568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28568 мың теңге".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203 375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201 941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203 390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203 578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39 843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163 735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220 937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17359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17359 мың теңге".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155 093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147 403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155 128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мың теңге".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54 677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49 224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58369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3692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3692 мың теңге".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70 817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68 697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71 291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-474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60 368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59 722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60 418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мың теңге".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54 951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50 146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54 955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84 519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13243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72 276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84 690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 мың теңге".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766 578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9 908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756 670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768 792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-2214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2214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–2214 мың теңге".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85 298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80 679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85 792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–-494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66 795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63 732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66 892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 мың теңге".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66 159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54 504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66 763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58 284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53 419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63 436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5152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5152 мың теңге".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2024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2024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2024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2024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2024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2024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2024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2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2024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2024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3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2024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3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2024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4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2024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4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