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eaa9" w14:textId="b99e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29 желтоқсандағы XІII сессиясының "2024-2026 жылдарға арналған кенттер, ауылдық округтер бюджеттері туралы" № 101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23 тамыздағы № 148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"2024-2026 жылдарға арналған кенттер, ауылдық округтер бюджеттері туралы" 2023 жылғы 29 желтоқсандағы №101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345 351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334 252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359 218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13867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432 264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22 450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409 814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460 832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-28568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28568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28568 мың теңге".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206 099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204 665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206 114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215 075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39 843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175 232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232 434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17359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17359 мың теңге".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155 696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148 006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155 731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50 773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45 320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54 465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3692 мың теңге".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71 367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69 247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71 841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-474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58 915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58 269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58 965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55 124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50 319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55 128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87 303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74 060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87 474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мың теңге".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1 048 297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9 908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1 038 389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1 050 511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–2214 мың теңге".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83 839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79 220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84 333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–-494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74 992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71 929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75 089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 мың теңге".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67 639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55 984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68 243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60 022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55 157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65 174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5152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5152 мың теңге".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