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02cb" w14:textId="eab0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29 желтоқсандағы XІII сессиясының "2024-2026 жылдарға арналған кенттер, ауылдық округтер бюджеттері туралы" № 101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7 наурыздағы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"2024-2026 жылдарға арналған кенттер, ауылдық округтер бюджеттері туралы" 2023 жылғы 29 желтоқсандағы №101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319 454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309 699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333 321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13867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13867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586 910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22 450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564 460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615 478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-28568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28568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28568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83 506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82 072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83 521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204 944 мың теңге, 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35 455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169 489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222 303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-17359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17359 мың теңге: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17359 мың теңге.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153 874 мың теңге, оның ішінде: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148 004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153 909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мың теңге: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мың теңге.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47 782 мың теңге, оның ішінде: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4 852 мың теңге;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42 930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51 474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3692 мың теңге.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59 491 мың теңге, оның ішінде: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57 371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59 965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-474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 мың теңге: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 мың теңге.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62 019 мың теңге, оның ішінде: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646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61 373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62 069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58 499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3 645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54 854 мың теңге;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58 503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81 607 мың теңге, оның ішінде: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6 925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74 682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81 778 мың теңге;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 мың теңге.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858 255 мың теңге, оның ішінде: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850 815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860 469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-2214 мың теңге;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2214 мың теңге: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–2214 мың теңге.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108 186 мың теңге, оның ішінде: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2 775 мың теңге;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105 411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108 680 мың теңге;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–-494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 мың теңге: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69 492 мың теңге, оның ішінде: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3 063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66 429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69 589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 мың теңге;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 мың теңге: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 мың теңге.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69 564 мың теңге, оның ішінде: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8 530 мың теңге;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61 034 мың теңге;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70 168 мың теңге;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мың теңге.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57 077 мың теңге, оның ішінде: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53 587 мың теңге;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62 229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-5152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5152 мың теңге: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5152 мың теңге.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8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2024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2024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2024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9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2024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2024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2024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0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2024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2024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2024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1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2024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2024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2024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