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a0c5" w14:textId="a27a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2023 жылғы 26 желтоқсандағы № 13/86 "2024-2026 жылдарға арналған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2024 жылғы 19 қарашадағы № 22/141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"2024-2026 жылдарға арналған кенттер және ауылдық округтердің бюджеті туралы" 2023 жылғы 26 желтоқсандағы №13/86 (Нормативтік құқықтық актілерді мемлекеттік тіркеу тізілімінде № 191706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623 911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89 234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534 193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641 347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- 17 436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17 436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17 436 мың теңге";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2024-2026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181 659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2 408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179 072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184 001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- 2 342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2 342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2 342 мың теңге";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Ақтүбек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127 476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4 686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255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122 535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127 545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 мың теңге";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2024-2026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50 575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766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49 705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50 575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2024-2026 жылдарға арналған Байдалы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89 478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2 237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87 137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92 224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- 2 746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2 746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2 746 мың теңге";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2024-2026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153 194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2 554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218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150 422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153 194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Мұқажан Жұмажанов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74 650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2 974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71 572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74 650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2024-2026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215 834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4 339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269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211 226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220 961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- 5 127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5 127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5 127 мың теңге";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2024-2026 жылдарға арналған Қараағаш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184 434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1 512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182 818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184 436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2024-2026 жылдарға арналған Қызылжар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202 390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4 640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208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197 542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202 391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78 214 мың теңге, оның ішінде: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1 545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218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76 295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78 272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 мың теңге, оның ішінде: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 мың теңге";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14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2024-2026 жылдарға арналған Орынбай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58 808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1 246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57 562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58 808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теңге".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 №22/141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3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Жаңаарқа кентінің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 №22/141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4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 №22/141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4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Ақтүбек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 №22/141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24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Айнабұлақ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 №22/141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5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Байдалы би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 №22/141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5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Бидайық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 №22/141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25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Мұқажан Жұмажанов атындағы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 №22/141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26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Ералиев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 №22/141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26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Қараағаш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 №22/141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26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кентінің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 №22/141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26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Сейфуллин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 №22/141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27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Орынбай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 №22/141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27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аудандық бюджеттен төменгі тұрған бюджеттерге берілетін нысаналы ағымдағы трансферттер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